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measles-rubeola"/>
    <w:p>
      <w:pPr>
        <w:pStyle w:val="Heading1"/>
      </w:pPr>
      <w:r>
        <w:t xml:space="preserve">Case Summary: Measles (Rubeola)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2"/>
    <w:bookmarkStart w:id="23"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3"/>
    <w:bookmarkStart w:id="24"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6"/>
    <w:bookmarkStart w:id="27" w:name="physical-examination"/>
    <w:p>
      <w:pPr>
        <w:pStyle w:val="Heading3"/>
      </w:pPr>
      <w:r>
        <w:t xml:space="preserve">Physical Examination</w:t>
      </w:r>
    </w:p>
    <w:p>
      <w:pPr>
        <w:pStyle w:val="Compact"/>
        <w:numPr>
          <w:ilvl w:val="0"/>
          <w:numId w:val="1002"/>
        </w:numPr>
      </w:pPr>
      <w:r>
        <w:t xml:space="preserve">Multiple erythematous maculopapular lesions spread throughout the body</w:t>
      </w:r>
    </w:p>
    <w:p>
      <w:pPr>
        <w:pStyle w:val="Compact"/>
        <w:numPr>
          <w:ilvl w:val="0"/>
          <w:numId w:val="1002"/>
        </w:numPr>
      </w:pPr>
      <w:r>
        <w:t xml:space="preserve">Presence of Koplik spots inside the mouth</w:t>
      </w:r>
    </w:p>
    <w:p>
      <w:pPr>
        <w:pStyle w:val="Compact"/>
        <w:numPr>
          <w:ilvl w:val="0"/>
          <w:numId w:val="1002"/>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7"/>
    <w:bookmarkStart w:id="28" w:name="treatment-and-management"/>
    <w:p>
      <w:pPr>
        <w:pStyle w:val="Heading3"/>
      </w:pPr>
      <w:r>
        <w:t xml:space="preserve">Treatment and Management</w:t>
      </w:r>
    </w:p>
    <w:p>
      <w:pPr>
        <w:pStyle w:val="Compact"/>
        <w:numPr>
          <w:ilvl w:val="0"/>
          <w:numId w:val="1003"/>
        </w:numPr>
      </w:pPr>
      <w:r>
        <w:t xml:space="preserve">Isolation to prevent further transmission</w:t>
      </w:r>
    </w:p>
    <w:p>
      <w:pPr>
        <w:pStyle w:val="Compact"/>
        <w:numPr>
          <w:ilvl w:val="0"/>
          <w:numId w:val="1003"/>
        </w:numPr>
      </w:pPr>
      <w:r>
        <w:t xml:space="preserve">Supportive care, including hydration, antipyretics for fever, and management of cough and conjunctivitis</w:t>
      </w:r>
    </w:p>
    <w:p>
      <w:pPr>
        <w:pStyle w:val="Compact"/>
        <w:numPr>
          <w:ilvl w:val="0"/>
          <w:numId w:val="1003"/>
        </w:numPr>
      </w:pPr>
      <w:r>
        <w:t xml:space="preserve">Administration of Vitamin A to reduce the severity of the disease, particularly in children</w:t>
      </w:r>
    </w:p>
    <w:bookmarkEnd w:id="28"/>
    <w:bookmarkEnd w:id="29"/>
    <w:bookmarkStart w:id="30"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Measles:</w:t>
      </w:r>
    </w:p>
    <w:p>
      <w:pPr>
        <w:pStyle w:val="Compact"/>
        <w:numPr>
          <w:ilvl w:val="1"/>
          <w:numId w:val="1005"/>
        </w:numPr>
      </w:pPr>
      <w:r>
        <w:t xml:space="preserve">Recognize the typical symptoms and diagnostic stages of measles.</w:t>
      </w:r>
    </w:p>
    <w:p>
      <w:pPr>
        <w:pStyle w:val="Compact"/>
        <w:numPr>
          <w:ilvl w:val="1"/>
          <w:numId w:val="1005"/>
        </w:numPr>
      </w:pPr>
      <w:r>
        <w:t xml:space="preserve">Identify appropriate serological and molecular diagnostic tests.</w:t>
      </w:r>
    </w:p>
    <w:p>
      <w:pPr>
        <w:pStyle w:val="Compact"/>
        <w:numPr>
          <w:ilvl w:val="0"/>
          <w:numId w:val="1004"/>
        </w:numPr>
      </w:pPr>
      <w:r>
        <w:rPr>
          <w:b/>
          <w:bCs/>
        </w:rPr>
        <w:t xml:space="preserve">Promote the Importance of Vaccination:</w:t>
      </w:r>
    </w:p>
    <w:p>
      <w:pPr>
        <w:pStyle w:val="Compact"/>
        <w:numPr>
          <w:ilvl w:val="1"/>
          <w:numId w:val="1006"/>
        </w:numPr>
      </w:pPr>
      <w:r>
        <w:t xml:space="preserve">Comprehend the significance of the MMR (Measles, Mumps, Rubella) vaccine in preventing measles.</w:t>
      </w:r>
    </w:p>
    <w:p>
      <w:pPr>
        <w:pStyle w:val="Compact"/>
        <w:numPr>
          <w:ilvl w:val="1"/>
          <w:numId w:val="1006"/>
        </w:numPr>
      </w:pPr>
      <w:r>
        <w:t xml:space="preserve">Discuss strategies to improve vaccination coverage and address vaccine hesitancy.</w:t>
      </w:r>
    </w:p>
    <w:p>
      <w:pPr>
        <w:pStyle w:val="Compact"/>
        <w:numPr>
          <w:ilvl w:val="0"/>
          <w:numId w:val="1004"/>
        </w:numPr>
      </w:pPr>
      <w:r>
        <w:rPr>
          <w:b/>
          <w:bCs/>
        </w:rPr>
        <w:t xml:space="preserve">Manage and Control Measles Outbreaks:</w:t>
      </w:r>
    </w:p>
    <w:p>
      <w:pPr>
        <w:pStyle w:val="Compact"/>
        <w:numPr>
          <w:ilvl w:val="1"/>
          <w:numId w:val="1007"/>
        </w:numPr>
      </w:pPr>
      <w:r>
        <w:t xml:space="preserve">Implement effective isolation and quarantine measures.</w:t>
      </w:r>
    </w:p>
    <w:p>
      <w:pPr>
        <w:pStyle w:val="Compact"/>
        <w:numPr>
          <w:ilvl w:val="1"/>
          <w:numId w:val="1007"/>
        </w:numPr>
      </w:pPr>
      <w:r>
        <w:t xml:space="preserve">Conduct thorough contact tracing and provide post-exposure prophylaxis if needed.</w:t>
      </w:r>
    </w:p>
    <w:p>
      <w:pPr>
        <w:pStyle w:val="Compact"/>
        <w:numPr>
          <w:ilvl w:val="1"/>
          <w:numId w:val="1007"/>
        </w:numPr>
      </w:pPr>
      <w:r>
        <w:t xml:space="preserve">Understand public health measures to control and prevent the spread of measles.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and caregivers about the symptoms, transmission, and prevention of measles.</w:t>
      </w:r>
    </w:p>
    <w:p>
      <w:pPr>
        <w:pStyle w:val="Compact"/>
        <w:numPr>
          <w:ilvl w:val="1"/>
          <w:numId w:val="1008"/>
        </w:numPr>
      </w:pPr>
      <w:r>
        <w:t xml:space="preserve">Advocate for vaccination and providing accurate, evidence-based information to counteract misinformation.</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Isolation and Quarantine:</w:t>
      </w:r>
    </w:p>
    <w:p>
      <w:pPr>
        <w:pStyle w:val="Compact"/>
        <w:numPr>
          <w:ilvl w:val="1"/>
          <w:numId w:val="1010"/>
        </w:numPr>
      </w:pPr>
      <w:r>
        <w:t xml:space="preserve">Mia and subsequently affected children were isolated until they were no longer contagious (four days after the rash onset).</w:t>
      </w:r>
    </w:p>
    <w:p>
      <w:pPr>
        <w:pStyle w:val="Compact"/>
        <w:numPr>
          <w:ilvl w:val="1"/>
          <w:numId w:val="1010"/>
        </w:numPr>
      </w:pPr>
      <w:r>
        <w:t xml:space="preserve">Contacts within the school and household settings were identified and monitored for symptoms.</w:t>
      </w:r>
    </w:p>
    <w:p>
      <w:pPr>
        <w:pStyle w:val="Compact"/>
        <w:numPr>
          <w:ilvl w:val="0"/>
          <w:numId w:val="1009"/>
        </w:numPr>
      </w:pPr>
      <w:r>
        <w:rPr>
          <w:b/>
          <w:bCs/>
        </w:rPr>
        <w:t xml:space="preserve">Vaccination Campaign and Public Health Education:</w:t>
      </w:r>
    </w:p>
    <w:p>
      <w:pPr>
        <w:pStyle w:val="Compact"/>
        <w:numPr>
          <w:ilvl w:val="1"/>
          <w:numId w:val="1011"/>
        </w:numPr>
      </w:pPr>
      <w:r>
        <w:t xml:space="preserve">An urgent vaccination campaign was initiated at the affected school and surrounding community.</w:t>
      </w:r>
    </w:p>
    <w:p>
      <w:pPr>
        <w:pStyle w:val="Compact"/>
        <w:numPr>
          <w:ilvl w:val="1"/>
          <w:numId w:val="1011"/>
        </w:numPr>
      </w:pPr>
      <w:r>
        <w:t xml:space="preserve">Educational sessions were organized for parents and school staff to emphasize the importance of the MMR vaccine and to dispel vaccine myths.</w:t>
      </w:r>
    </w:p>
    <w:bookmarkEnd w:id="32"/>
    <w:bookmarkStart w:id="33" w:name="outcomes"/>
    <w:p>
      <w:pPr>
        <w:pStyle w:val="Heading3"/>
      </w:pPr>
      <w:r>
        <w:t xml:space="preserve">Outcomes</w:t>
      </w:r>
    </w:p>
    <w:p>
      <w:pPr>
        <w:pStyle w:val="Compact"/>
        <w:numPr>
          <w:ilvl w:val="0"/>
          <w:numId w:val="1012"/>
        </w:numPr>
      </w:pPr>
      <w:r>
        <w:t xml:space="preserve">No further cases were reported after the public health interventions were put in place.</w:t>
      </w:r>
    </w:p>
    <w:p>
      <w:pPr>
        <w:pStyle w:val="Compact"/>
        <w:numPr>
          <w:ilvl w:val="0"/>
          <w:numId w:val="1012"/>
        </w:numPr>
      </w:pPr>
      <w:r>
        <w:t xml:space="preserve">Increased MMR vaccination coverage in the affected community.</w:t>
      </w:r>
    </w:p>
    <w:p>
      <w:pPr>
        <w:pStyle w:val="Compact"/>
        <w:numPr>
          <w:ilvl w:val="0"/>
          <w:numId w:val="1012"/>
        </w:numPr>
      </w:pPr>
      <w:r>
        <w:t xml:space="preserve">Heightened awareness among parents, school staff, and the broader community regarding measles prevention.</w:t>
      </w:r>
    </w:p>
    <w:bookmarkEnd w:id="33"/>
    <w:bookmarkEnd w:id="34"/>
    <w:bookmarkStart w:id="35"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clinical features of measles that distinguish it from other febrile illnesses with rash?</w:t>
      </w:r>
    </w:p>
    <w:p>
      <w:pPr>
        <w:pStyle w:val="Compact"/>
        <w:numPr>
          <w:ilvl w:val="1"/>
          <w:numId w:val="1014"/>
        </w:numPr>
      </w:pPr>
      <w:r>
        <w:t xml:space="preserve">When should serological and molecular diagnostic tests be utilized to confirm a measles diagnosis?</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methods to address and reduce vaccine hesitancy within communities?</w:t>
      </w:r>
    </w:p>
    <w:p>
      <w:pPr>
        <w:pStyle w:val="Compact"/>
        <w:numPr>
          <w:ilvl w:val="1"/>
          <w:numId w:val="1015"/>
        </w:numPr>
      </w:pPr>
      <w:r>
        <w:t xml:space="preserve">How can healthcare professionals and public health authorities encourage higher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steps involved in effective isolation and outbreak containment in a school setting?</w:t>
      </w:r>
    </w:p>
    <w:p>
      <w:pPr>
        <w:pStyle w:val="Compact"/>
        <w:numPr>
          <w:ilvl w:val="1"/>
          <w:numId w:val="1016"/>
        </w:numPr>
      </w:pPr>
      <w:r>
        <w:t xml:space="preserve">How do public health authorities balance individual rights and community safety during a measles outbreak?</w:t>
      </w:r>
    </w:p>
    <w:p>
      <w:pPr>
        <w:pStyle w:val="Compact"/>
        <w:numPr>
          <w:ilvl w:val="0"/>
          <w:numId w:val="1013"/>
        </w:numPr>
      </w:pPr>
      <w:r>
        <w:rPr>
          <w:b/>
          <w:bCs/>
        </w:rPr>
        <w:t xml:space="preserve">Public Health Education:</w:t>
      </w:r>
    </w:p>
    <w:p>
      <w:pPr>
        <w:pStyle w:val="Compact"/>
        <w:numPr>
          <w:ilvl w:val="1"/>
          <w:numId w:val="1017"/>
        </w:numPr>
      </w:pPr>
      <w:r>
        <w:t xml:space="preserve">What approaches can be used to communicate the importance of the MMR vaccine to parents and caregivers?</w:t>
      </w:r>
    </w:p>
    <w:p>
      <w:pPr>
        <w:pStyle w:val="Compact"/>
        <w:numPr>
          <w:ilvl w:val="1"/>
          <w:numId w:val="1017"/>
        </w:numPr>
      </w:pPr>
      <w:r>
        <w:t xml:space="preserve">How can public health nurses advocate for vaccination and counteract misinformation about vaccines?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1.docx" TargetMode="External" /><Relationship Type="http://schemas.openxmlformats.org/officeDocument/2006/relationships/hyperlink" Id="rId20" Target="measles1.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1.docx" TargetMode="External" /><Relationship Type="http://schemas.openxmlformats.org/officeDocument/2006/relationships/hyperlink" Id="rId20" Target="measles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2024-06-27T15:17:59Z</dcterms:created>
  <dcterms:modified xsi:type="dcterms:W3CDTF">2024-06-27T15:17:59Z</dcterms:modified>
</cp:coreProperties>
</file>

<file path=docProps/custom.xml><?xml version="1.0" encoding="utf-8"?>
<Properties xmlns="http://schemas.openxmlformats.org/officeDocument/2006/custom-properties" xmlns:vt="http://schemas.openxmlformats.org/officeDocument/2006/docPropsVTypes"/>
</file>