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easles-case-summary"/>
    <w:p>
      <w:pPr>
        <w:pStyle w:val="Heading1"/>
      </w:pPr>
      <w:r>
        <w:t xml:space="preserve">Measles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Measles is a highly contagious viral disease caused by the measles virus, a paramyxovirus of the genus Morbillivirus. The virus predominantly affects children but can occur at any age. Measles was once a common childhood illness, but widespread vaccination efforts have significantly reduced its incidence.</w:t>
      </w:r>
    </w:p>
    <w:p>
      <w:pPr>
        <w:pStyle w:val="BodyText"/>
      </w:pPr>
      <w:r>
        <w:rPr>
          <w:b/>
          <w:bCs/>
        </w:rPr>
        <w:t xml:space="preserve">Epidemiology</w:t>
      </w:r>
      <w:r>
        <w:t xml:space="preserve"> </w:t>
      </w:r>
      <w:r>
        <w:t xml:space="preserve">Despite the global vaccination efforts, measles remains one of the leading causes of vaccine-preventable deaths worldwide. Major outbreaks continue to occur, especially in regions with low vaccine coverage. In 2018, the World Health Organization reported over 140,000 deaths globally due to measles, primarily in children under the age of 5. It is estimated that 95% vaccine coverage is required to achieve herd immunity and prevent outbreaks.</w:t>
      </w:r>
    </w:p>
    <w:p>
      <w:pPr>
        <w:pStyle w:val="BodyText"/>
      </w:pPr>
      <w:r>
        <w:rPr>
          <w:b/>
          <w:bCs/>
        </w:rPr>
        <w:t xml:space="preserve">Transmission</w:t>
      </w:r>
      <w:r>
        <w:t xml:space="preserve"> </w:t>
      </w:r>
      <w:r>
        <w:t xml:space="preserve">Measles is transmitted via respiratory droplets when an infected person coughs or sneezes. The virus can live for up to two hours in an airspace where the infected person coughed or sneezed. Contact with surfaces contaminated with infected droplets can also spread the virus. The infection has an incubation period of approximately 10-12 days, followed by the appearance of symptoms. Individuals are considered contagious from about four days before to four days after the rash appears.</w:t>
      </w:r>
    </w:p>
    <w:bookmarkEnd w:id="22"/>
    <w:bookmarkStart w:id="27" w:name="case-details"/>
    <w:p>
      <w:pPr>
        <w:pStyle w:val="Heading2"/>
      </w:pPr>
      <w:r>
        <w:t xml:space="preserve">Case Details</w:t>
      </w:r>
    </w:p>
    <w:bookmarkStart w:id="23" w:name="demographics"/>
    <w:p>
      <w:pPr>
        <w:pStyle w:val="Heading3"/>
      </w:pPr>
      <w:r>
        <w:t xml:space="preserve">Demographics</w:t>
      </w:r>
    </w:p>
    <w:p>
      <w:pPr>
        <w:numPr>
          <w:ilvl w:val="0"/>
          <w:numId w:val="1002"/>
        </w:numPr>
      </w:pPr>
      <w:r>
        <w:rPr>
          <w:b/>
          <w:bCs/>
        </w:rPr>
        <w:t xml:space="preserve">Age:</w:t>
      </w:r>
      <w:r>
        <w:t xml:space="preserve"> </w:t>
      </w:r>
      <w:r>
        <w:t xml:space="preserve">Typically children under 5 years, but older children and adults can also be infected.</w:t>
      </w:r>
    </w:p>
    <w:p>
      <w:pPr>
        <w:numPr>
          <w:ilvl w:val="0"/>
          <w:numId w:val="1002"/>
        </w:numPr>
      </w:pPr>
      <w:r>
        <w:rPr>
          <w:b/>
          <w:bCs/>
        </w:rPr>
        <w:t xml:space="preserve">Gender:</w:t>
      </w:r>
      <w:r>
        <w:t xml:space="preserve"> </w:t>
      </w:r>
      <w:r>
        <w:t xml:space="preserve">Both males and females can be affected equally.</w:t>
      </w:r>
    </w:p>
    <w:p>
      <w:pPr>
        <w:numPr>
          <w:ilvl w:val="0"/>
          <w:numId w:val="1002"/>
        </w:numPr>
      </w:pPr>
      <w:r>
        <w:rPr>
          <w:b/>
          <w:bCs/>
        </w:rPr>
        <w:t xml:space="preserve">Geography:</w:t>
      </w:r>
      <w:r>
        <w:t xml:space="preserve"> </w:t>
      </w:r>
      <w:r>
        <w:t xml:space="preserve">Higher incidence in regions with low vaccination coverage or outbreaks.</w:t>
      </w:r>
    </w:p>
    <w:bookmarkEnd w:id="23"/>
    <w:bookmarkStart w:id="24" w:name="symptoms"/>
    <w:p>
      <w:pPr>
        <w:pStyle w:val="Heading3"/>
      </w:pPr>
      <w:r>
        <w:t xml:space="preserve">Symptoms</w:t>
      </w:r>
    </w:p>
    <w:p>
      <w:pPr>
        <w:numPr>
          <w:ilvl w:val="0"/>
          <w:numId w:val="1003"/>
        </w:numPr>
      </w:pPr>
      <w:r>
        <w:rPr>
          <w:b/>
          <w:bCs/>
        </w:rPr>
        <w:t xml:space="preserve">Prodromal Stage:</w:t>
      </w:r>
      <w:r>
        <w:t xml:space="preserve"> </w:t>
      </w:r>
      <w:r>
        <w:t xml:space="preserve">High fever (up to 104°F or 40°C), cough, runny nose (coryza), red eyes (conjunctivitis), and Koplik spots (tiny white spots with bluish-white centers inside the mouth on the inner lining of the cheek).</w:t>
      </w:r>
    </w:p>
    <w:p>
      <w:pPr>
        <w:numPr>
          <w:ilvl w:val="0"/>
          <w:numId w:val="1003"/>
        </w:numPr>
      </w:pPr>
      <w:r>
        <w:rPr>
          <w:b/>
          <w:bCs/>
        </w:rPr>
        <w:t xml:space="preserve">Rash:</w:t>
      </w:r>
      <w:r>
        <w:t xml:space="preserve"> </w:t>
      </w:r>
      <w:r>
        <w:t xml:space="preserve">Appears 3-5 days after initial symptoms. It usually begins on the face and spreads downwards to the rest of the body. The rash consists of flat red spots, sometimes turning into small raised bumps.</w:t>
      </w:r>
    </w:p>
    <w:bookmarkEnd w:id="24"/>
    <w:bookmarkStart w:id="25" w:name="testing"/>
    <w:p>
      <w:pPr>
        <w:pStyle w:val="Heading3"/>
      </w:pPr>
      <w:r>
        <w:t xml:space="preserve">Testing</w:t>
      </w:r>
    </w:p>
    <w:p>
      <w:pPr>
        <w:numPr>
          <w:ilvl w:val="0"/>
          <w:numId w:val="1004"/>
        </w:numPr>
      </w:pPr>
      <w:r>
        <w:rPr>
          <w:b/>
          <w:bCs/>
        </w:rPr>
        <w:t xml:space="preserve">Laboratory Diagnosis:</w:t>
      </w:r>
      <w:r>
        <w:t xml:space="preserve"> </w:t>
      </w:r>
      <w:r>
        <w:t xml:space="preserve">Diagnosis is confirmed through serological testing for measles-specific IgM antibodies or by reverse transcription-polymerase chain reaction (RT-PCR) to detect viral RNA.</w:t>
      </w:r>
    </w:p>
    <w:p>
      <w:pPr>
        <w:numPr>
          <w:ilvl w:val="0"/>
          <w:numId w:val="1004"/>
        </w:numPr>
      </w:pPr>
      <w:r>
        <w:rPr>
          <w:b/>
          <w:bCs/>
        </w:rPr>
        <w:t xml:space="preserve">Clinical Diagnosis:</w:t>
      </w:r>
      <w:r>
        <w:t xml:space="preserve"> </w:t>
      </w:r>
      <w:r>
        <w:t xml:space="preserve">Based on the characteristic signs and symptoms, particularly the presence of Koplik spots, and confirmed by laboratory testing.</w:t>
      </w:r>
    </w:p>
    <w:bookmarkEnd w:id="25"/>
    <w:bookmarkStart w:id="26" w:name="subsequent-cases"/>
    <w:p>
      <w:pPr>
        <w:pStyle w:val="Heading3"/>
      </w:pPr>
      <w:r>
        <w:t xml:space="preserve">Subsequent Cases</w:t>
      </w:r>
    </w:p>
    <w:p>
      <w:pPr>
        <w:pStyle w:val="FirstParagraph"/>
      </w:pPr>
      <w:r>
        <w:t xml:space="preserve">In cases of an outbreak, tracking and reporting subsequent cases are crucial for public health response. Contact tracing and monitoring of individuals who were in close proximity to the initial patient help in assessing the spread and implementing quarantine measures.</w:t>
      </w:r>
    </w:p>
    <w:bookmarkEnd w:id="26"/>
    <w:bookmarkEnd w:id="27"/>
    <w:bookmarkStart w:id="29" w:name="learning-objectives"/>
    <w:p>
      <w:pPr>
        <w:pStyle w:val="Heading2"/>
      </w:pPr>
      <w:r>
        <w:t xml:space="preserve">Learning Objectives</w:t>
      </w:r>
    </w:p>
    <w:p>
      <w:pPr>
        <w:numPr>
          <w:ilvl w:val="0"/>
          <w:numId w:val="1005"/>
        </w:numPr>
      </w:pPr>
      <w:r>
        <w:rPr>
          <w:b/>
          <w:bCs/>
        </w:rPr>
        <w:t xml:space="preserve">Understand the Pathophysiology and Symptoms:</w:t>
      </w:r>
    </w:p>
    <w:p>
      <w:pPr>
        <w:pStyle w:val="Compact"/>
        <w:numPr>
          <w:ilvl w:val="1"/>
          <w:numId w:val="1006"/>
        </w:numPr>
      </w:pPr>
      <w:r>
        <w:t xml:space="preserve">Comprehend the viral etiology of measles and its progression.</w:t>
      </w:r>
    </w:p>
    <w:p>
      <w:pPr>
        <w:numPr>
          <w:ilvl w:val="0"/>
          <w:numId w:val="1005"/>
        </w:numPr>
      </w:pPr>
      <w:r>
        <w:rPr>
          <w:b/>
          <w:bCs/>
        </w:rPr>
        <w:t xml:space="preserve">Epidemiology and Public Health Impact:</w:t>
      </w:r>
    </w:p>
    <w:p>
      <w:pPr>
        <w:pStyle w:val="Compact"/>
        <w:numPr>
          <w:ilvl w:val="1"/>
          <w:numId w:val="1007"/>
        </w:numPr>
      </w:pPr>
      <w:r>
        <w:t xml:space="preserve">Recognize the global burden of measles and factors contributing to outbreaks.</w:t>
      </w:r>
    </w:p>
    <w:p>
      <w:pPr>
        <w:numPr>
          <w:ilvl w:val="0"/>
          <w:numId w:val="1005"/>
        </w:numPr>
      </w:pPr>
      <w:r>
        <w:rPr>
          <w:b/>
          <w:bCs/>
        </w:rPr>
        <w:t xml:space="preserve">Transmission and Prevention:</w:t>
      </w:r>
    </w:p>
    <w:p>
      <w:pPr>
        <w:pStyle w:val="Compact"/>
        <w:numPr>
          <w:ilvl w:val="1"/>
          <w:numId w:val="1008"/>
        </w:numPr>
      </w:pPr>
      <w:r>
        <w:t xml:space="preserve">Learn how measles spreads and the importance of vaccination in prevention.</w:t>
      </w:r>
    </w:p>
    <w:p>
      <w:pPr>
        <w:numPr>
          <w:ilvl w:val="0"/>
          <w:numId w:val="1005"/>
        </w:numPr>
      </w:pPr>
      <w:r>
        <w:rPr>
          <w:b/>
          <w:bCs/>
        </w:rPr>
        <w:t xml:space="preserve">Management and Complications:</w:t>
      </w:r>
    </w:p>
    <w:p>
      <w:pPr>
        <w:pStyle w:val="Compact"/>
        <w:numPr>
          <w:ilvl w:val="1"/>
          <w:numId w:val="1009"/>
        </w:numPr>
      </w:pPr>
      <w:r>
        <w:t xml:space="preserve">Identify the protocol for managing measles cases, potential complications, and the role of supportive care.</w:t>
      </w:r>
    </w:p>
    <w:bookmarkStart w:id="28" w:name="actions-and-outcomes"/>
    <w:p>
      <w:pPr>
        <w:pStyle w:val="Heading3"/>
      </w:pPr>
      <w:r>
        <w:t xml:space="preserve">Actions and Outcomes</w:t>
      </w:r>
    </w:p>
    <w:p>
      <w:pPr>
        <w:numPr>
          <w:ilvl w:val="0"/>
          <w:numId w:val="1010"/>
        </w:numPr>
      </w:pPr>
      <w:r>
        <w:rPr>
          <w:b/>
          <w:bCs/>
        </w:rPr>
        <w:t xml:space="preserve">Action:</w:t>
      </w:r>
      <w:r>
        <w:t xml:space="preserve"> </w:t>
      </w:r>
      <w:r>
        <w:t xml:space="preserve">Initiate immediate isolation of the infected patient to prevent transmission.</w:t>
      </w:r>
    </w:p>
    <w:p>
      <w:pPr>
        <w:numPr>
          <w:ilvl w:val="0"/>
          <w:numId w:val="1010"/>
        </w:numPr>
      </w:pPr>
      <w:r>
        <w:rPr>
          <w:b/>
          <w:bCs/>
        </w:rPr>
        <w:t xml:space="preserve">Outcome:</w:t>
      </w:r>
      <w:r>
        <w:t xml:space="preserve"> </w:t>
      </w:r>
      <w:r>
        <w:t xml:space="preserve">Containment of the virus, reduction in secondary cases.</w:t>
      </w:r>
    </w:p>
    <w:p>
      <w:pPr>
        <w:numPr>
          <w:ilvl w:val="0"/>
          <w:numId w:val="1010"/>
        </w:numPr>
      </w:pPr>
      <w:r>
        <w:rPr>
          <w:b/>
          <w:bCs/>
        </w:rPr>
        <w:t xml:space="preserve">Action:</w:t>
      </w:r>
      <w:r>
        <w:t xml:space="preserve"> </w:t>
      </w:r>
      <w:r>
        <w:t xml:space="preserve">Notify public health authorities to facilitate outbreak response and contact tracing.</w:t>
      </w:r>
    </w:p>
    <w:p>
      <w:pPr>
        <w:numPr>
          <w:ilvl w:val="0"/>
          <w:numId w:val="1010"/>
        </w:numPr>
      </w:pPr>
      <w:r>
        <w:rPr>
          <w:b/>
          <w:bCs/>
        </w:rPr>
        <w:t xml:space="preserve">Outcome:</w:t>
      </w:r>
      <w:r>
        <w:t xml:space="preserve"> </w:t>
      </w:r>
      <w:r>
        <w:t xml:space="preserve">Coordinated public health response, timely vaccination efforts targeting exposed, unvaccinated individuals.</w:t>
      </w:r>
    </w:p>
    <w:p>
      <w:pPr>
        <w:numPr>
          <w:ilvl w:val="0"/>
          <w:numId w:val="1010"/>
        </w:numPr>
      </w:pPr>
      <w:r>
        <w:rPr>
          <w:b/>
          <w:bCs/>
        </w:rPr>
        <w:t xml:space="preserve">Action:</w:t>
      </w:r>
      <w:r>
        <w:t xml:space="preserve"> </w:t>
      </w:r>
      <w:r>
        <w:t xml:space="preserve">Educate the community about the importance of the measles vaccine (MMR – Measles, Mumps, Rubella).</w:t>
      </w:r>
    </w:p>
    <w:p>
      <w:pPr>
        <w:numPr>
          <w:ilvl w:val="0"/>
          <w:numId w:val="1010"/>
        </w:numPr>
      </w:pPr>
      <w:r>
        <w:rPr>
          <w:b/>
          <w:bCs/>
        </w:rPr>
        <w:t xml:space="preserve">Outcome:</w:t>
      </w:r>
      <w:r>
        <w:t xml:space="preserve"> </w:t>
      </w:r>
      <w:r>
        <w:t xml:space="preserve">Increased vaccine coverage, improved community immunity, and reduced incidence of future outbreaks.</w:t>
      </w:r>
    </w:p>
    <w:bookmarkEnd w:id="28"/>
    <w:bookmarkEnd w:id="29"/>
    <w:bookmarkStart w:id="30" w:name="reflection"/>
    <w:p>
      <w:pPr>
        <w:pStyle w:val="Heading2"/>
      </w:pPr>
      <w:r>
        <w:t xml:space="preserve">Reflection</w:t>
      </w:r>
    </w:p>
    <w:p>
      <w:pPr>
        <w:pStyle w:val="FirstParagraph"/>
      </w:pPr>
      <w:r>
        <w:t xml:space="preserve">Reflecting on the importance of vigilance in vaccination efforts and early identification of symptoms can prompt better preparedness and responsiveness during measles outbreaks. Understanding the socio-economic and cultural barriers to vaccination can also inform targeted community outreach and education programs.</w:t>
      </w:r>
    </w:p>
    <w:bookmarkEnd w:id="30"/>
    <w:bookmarkStart w:id="31" w:name="discussion-questions"/>
    <w:p>
      <w:pPr>
        <w:pStyle w:val="Heading2"/>
      </w:pPr>
      <w:r>
        <w:t xml:space="preserve">Discussion Questions</w:t>
      </w:r>
    </w:p>
    <w:p>
      <w:pPr>
        <w:pStyle w:val="Compact"/>
        <w:numPr>
          <w:ilvl w:val="0"/>
          <w:numId w:val="1011"/>
        </w:numPr>
      </w:pPr>
      <w:r>
        <w:t xml:space="preserve">What are the key factors contributing to the resurgence of measles in regions that had previously controlled it?</w:t>
      </w:r>
    </w:p>
    <w:p>
      <w:pPr>
        <w:pStyle w:val="Compact"/>
        <w:numPr>
          <w:ilvl w:val="0"/>
          <w:numId w:val="1011"/>
        </w:numPr>
      </w:pPr>
      <w:r>
        <w:t xml:space="preserve">How can public health nurses effectively communicate the importance of vaccination to vaccine-hesitant communities?</w:t>
      </w:r>
    </w:p>
    <w:p>
      <w:pPr>
        <w:pStyle w:val="Compact"/>
        <w:numPr>
          <w:ilvl w:val="0"/>
          <w:numId w:val="1011"/>
        </w:numPr>
      </w:pPr>
      <w:r>
        <w:t xml:space="preserve">What are the best practices for managing a measles outbreak in a healthcare setting to prevent nosocomial transmission?</w:t>
      </w:r>
    </w:p>
    <w:p>
      <w:pPr>
        <w:pStyle w:val="Compact"/>
        <w:numPr>
          <w:ilvl w:val="0"/>
          <w:numId w:val="1011"/>
        </w:numPr>
      </w:pPr>
      <w:r>
        <w:t xml:space="preserve">How do social determinants of health influence the spread and control of measles in different populations?</w:t>
      </w:r>
    </w:p>
    <w:p>
      <w:pPr>
        <w:pStyle w:val="FirstParagraph"/>
      </w:pPr>
      <w:r>
        <w:t xml:space="preserve">By addressing these questions and the above components, public health nurses can enhance their understanding and management of measles, contributing to better health outcomes in their communities.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asles3.docx" TargetMode="External" /><Relationship Type="http://schemas.openxmlformats.org/officeDocument/2006/relationships/hyperlink" Id="rId20" Target="measles3.pdf" TargetMode="External" /></Relationships>
</file>

<file path=word/_rels/footnotes.xml.rels><?xml version="1.0" encoding="UTF-8"?><Relationships xmlns="http://schemas.openxmlformats.org/package/2006/relationships"><Relationship Type="http://schemas.openxmlformats.org/officeDocument/2006/relationships/hyperlink" Id="rId21" Target="measles3.docx" TargetMode="External" /><Relationship Type="http://schemas.openxmlformats.org/officeDocument/2006/relationships/hyperlink" Id="rId20" Target="measle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2024-06-27T17:41:40Z</dcterms:created>
  <dcterms:modified xsi:type="dcterms:W3CDTF">2024-06-27T17:41:40Z</dcterms:modified>
</cp:coreProperties>
</file>

<file path=docProps/custom.xml><?xml version="1.0" encoding="utf-8"?>
<Properties xmlns="http://schemas.openxmlformats.org/officeDocument/2006/custom-properties" xmlns:vt="http://schemas.openxmlformats.org/officeDocument/2006/docPropsVTypes"/>
</file>