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nesseria-meningitis-case-summary"/>
    <w:p>
      <w:pPr>
        <w:pStyle w:val="Heading1"/>
      </w:pPr>
      <w:r>
        <w:t xml:space="preserve">Nesseria Meningitis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35" w:name="case-summary-neisseria-meningitis"/>
    <w:p>
      <w:pPr>
        <w:pStyle w:val="Heading3"/>
      </w:pPr>
      <w:r>
        <w:t xml:space="preserve">Case Summary: Neisseria Meningitis</w:t>
      </w:r>
    </w:p>
    <w:bookmarkStart w:id="25" w:name="background"/>
    <w:p>
      <w:pPr>
        <w:pStyle w:val="Heading4"/>
      </w:pPr>
      <w:r>
        <w:t xml:space="preserve">Background</w:t>
      </w:r>
    </w:p>
    <w:bookmarkStart w:id="22" w:name="etiology"/>
    <w:p>
      <w:pPr>
        <w:pStyle w:val="Heading5"/>
      </w:pPr>
      <w:r>
        <w:t xml:space="preserve">Etiology</w:t>
      </w:r>
    </w:p>
    <w:p>
      <w:pPr>
        <w:pStyle w:val="FirstParagraph"/>
      </w:pPr>
      <w:r>
        <w:t xml:space="preserve">Neisseria meningitidis, a Gram-negative diplococcus bacterium, is the causative agent of meningococcal disease, which can manifest as meningitis or septicemia. This bacterium is encapsulated, which provides resistance to the body’s immune defenses and contributes to its virulence. There are multiple serogroups of Neisseria meningitidis, with serogroups A, B, C, W, X, and Y being the most clinically significant.</w:t>
      </w:r>
    </w:p>
    <w:bookmarkEnd w:id="22"/>
    <w:bookmarkStart w:id="23" w:name="epidemiology"/>
    <w:p>
      <w:pPr>
        <w:pStyle w:val="Heading5"/>
      </w:pPr>
      <w:r>
        <w:t xml:space="preserve">Epidemiology</w:t>
      </w:r>
    </w:p>
    <w:p>
      <w:pPr>
        <w:pStyle w:val="FirstParagraph"/>
      </w:pPr>
      <w:r>
        <w:t xml:space="preserve">Neisseria meningitidis infection is a global concern, with varying incidence across different regions. The African</w:t>
      </w:r>
      <w:r>
        <w:t xml:space="preserve"> </w:t>
      </w:r>
      <w:r>
        <w:t xml:space="preserve">“</w:t>
      </w:r>
      <w:r>
        <w:t xml:space="preserve">meningitis belt</w:t>
      </w:r>
      <w:r>
        <w:t xml:space="preserve">”</w:t>
      </w:r>
      <w:r>
        <w:t xml:space="preserve"> </w:t>
      </w:r>
      <w:r>
        <w:t xml:space="preserve">experiences the highest prevalence, especially during the dry season. In the United States and Europe, incidences are sporadic and outbreaks are less common. Vaccination programs have substantially reduced the occurrence of some serogroups such as A, C, W, and Y, though serogroup B remains a significant challenge.</w:t>
      </w:r>
    </w:p>
    <w:bookmarkEnd w:id="23"/>
    <w:bookmarkStart w:id="24" w:name="transmission"/>
    <w:p>
      <w:pPr>
        <w:pStyle w:val="Heading5"/>
      </w:pPr>
      <w:r>
        <w:t xml:space="preserve">Transmission</w:t>
      </w:r>
    </w:p>
    <w:p>
      <w:pPr>
        <w:pStyle w:val="FirstParagraph"/>
      </w:pPr>
      <w:r>
        <w:t xml:space="preserve">The primary mode of transmission for Neisseria meningitidis is through respiratory droplets or close personal contact with an infected person. Carriers, who harbor the bacteria in their nasal or throat mucosa without showing symptoms, play a crucial role in spreading the infection.</w:t>
      </w:r>
    </w:p>
    <w:bookmarkEnd w:id="24"/>
    <w:bookmarkEnd w:id="25"/>
    <w:bookmarkStart w:id="29" w:name="patient-profile"/>
    <w:p>
      <w:pPr>
        <w:pStyle w:val="Heading4"/>
      </w:pPr>
      <w:r>
        <w:t xml:space="preserve">Patient Profile</w:t>
      </w:r>
    </w:p>
    <w:bookmarkStart w:id="26" w:name="demographics"/>
    <w:p>
      <w:pPr>
        <w:pStyle w:val="Heading5"/>
      </w:pPr>
      <w:r>
        <w:t xml:space="preserve">Demographics</w:t>
      </w:r>
    </w:p>
    <w:p>
      <w:pPr>
        <w:pStyle w:val="Compact"/>
        <w:numPr>
          <w:ilvl w:val="0"/>
          <w:numId w:val="1002"/>
        </w:numPr>
      </w:pPr>
      <w:r>
        <w:t xml:space="preserve">Age: 18 years old</w:t>
      </w:r>
    </w:p>
    <w:p>
      <w:pPr>
        <w:pStyle w:val="Compact"/>
        <w:numPr>
          <w:ilvl w:val="0"/>
          <w:numId w:val="1002"/>
        </w:numPr>
      </w:pPr>
      <w:r>
        <w:t xml:space="preserve">Gender: Male</w:t>
      </w:r>
    </w:p>
    <w:p>
      <w:pPr>
        <w:pStyle w:val="Compact"/>
        <w:numPr>
          <w:ilvl w:val="0"/>
          <w:numId w:val="1002"/>
        </w:numPr>
      </w:pPr>
      <w:r>
        <w:t xml:space="preserve">Residence: College dormitory</w:t>
      </w:r>
    </w:p>
    <w:p>
      <w:pPr>
        <w:pStyle w:val="Compact"/>
        <w:numPr>
          <w:ilvl w:val="0"/>
          <w:numId w:val="1002"/>
        </w:numPr>
      </w:pPr>
      <w:r>
        <w:t xml:space="preserve">Miscellaneous: Fully vaccinated save for the meningococcal B vaccine.</w:t>
      </w:r>
    </w:p>
    <w:bookmarkEnd w:id="26"/>
    <w:bookmarkStart w:id="27" w:name="symptoms"/>
    <w:p>
      <w:pPr>
        <w:pStyle w:val="Heading5"/>
      </w:pPr>
      <w:r>
        <w:t xml:space="preserve">Symptoms</w:t>
      </w:r>
    </w:p>
    <w:p>
      <w:pPr>
        <w:pStyle w:val="Compact"/>
        <w:numPr>
          <w:ilvl w:val="0"/>
          <w:numId w:val="1003"/>
        </w:numPr>
      </w:pPr>
      <w:r>
        <w:t xml:space="preserve">Initial: Severe headache, high fever, nausea, vomiting.</w:t>
      </w:r>
    </w:p>
    <w:p>
      <w:pPr>
        <w:pStyle w:val="Compact"/>
        <w:numPr>
          <w:ilvl w:val="0"/>
          <w:numId w:val="1003"/>
        </w:numPr>
      </w:pPr>
      <w:r>
        <w:t xml:space="preserve">Progression: Stiff neck, photophobia, altered mental status, petechial rash.</w:t>
      </w:r>
    </w:p>
    <w:bookmarkEnd w:id="27"/>
    <w:bookmarkStart w:id="28" w:name="testing"/>
    <w:p>
      <w:pPr>
        <w:pStyle w:val="Heading5"/>
      </w:pPr>
      <w:r>
        <w:t xml:space="preserve">Testing</w:t>
      </w:r>
    </w:p>
    <w:p>
      <w:pPr>
        <w:pStyle w:val="Compact"/>
        <w:numPr>
          <w:ilvl w:val="0"/>
          <w:numId w:val="1004"/>
        </w:numPr>
      </w:pPr>
      <w:r>
        <w:t xml:space="preserve">Lumbar Puncture: Elevated white blood cell count, reduced glucose concentrations, elevated protein levels in cerebrospinal fluid (CSF).</w:t>
      </w:r>
    </w:p>
    <w:p>
      <w:pPr>
        <w:pStyle w:val="Compact"/>
        <w:numPr>
          <w:ilvl w:val="0"/>
          <w:numId w:val="1004"/>
        </w:numPr>
      </w:pPr>
      <w:r>
        <w:t xml:space="preserve">CSF Gram Stain: Presence of Gram-negative diplococci.</w:t>
      </w:r>
    </w:p>
    <w:p>
      <w:pPr>
        <w:pStyle w:val="Compact"/>
        <w:numPr>
          <w:ilvl w:val="0"/>
          <w:numId w:val="1004"/>
        </w:numPr>
      </w:pPr>
      <w:r>
        <w:t xml:space="preserve">Blood Cultures: Positive for Neisseria meningitidis.</w:t>
      </w:r>
    </w:p>
    <w:p>
      <w:pPr>
        <w:pStyle w:val="Compact"/>
        <w:numPr>
          <w:ilvl w:val="0"/>
          <w:numId w:val="1004"/>
        </w:numPr>
      </w:pPr>
      <w:r>
        <w:t xml:space="preserve">Polymerase Chain Reaction (PCR): Confirmed serogroup B Neisseria meningitidis.</w:t>
      </w:r>
    </w:p>
    <w:bookmarkEnd w:id="28"/>
    <w:bookmarkEnd w:id="29"/>
    <w:bookmarkStart w:id="30" w:name="subsequent-cases"/>
    <w:p>
      <w:pPr>
        <w:pStyle w:val="Heading4"/>
      </w:pPr>
      <w:r>
        <w:t xml:space="preserve">Subsequent Cases</w:t>
      </w:r>
    </w:p>
    <w:p>
      <w:pPr>
        <w:pStyle w:val="FirstParagraph"/>
      </w:pPr>
      <w:r>
        <w:t xml:space="preserve">Post identification of the index case, two additional cases were documented in the same dormitory over two weeks. An epidemiological investigation revealed that neither of these additional patients had received the meningococcal B vaccine, reinforcing the need for comprehensive inoculation strategies.</w:t>
      </w:r>
    </w:p>
    <w:bookmarkEnd w:id="30"/>
    <w:bookmarkStart w:id="31" w:name="learning-objectives"/>
    <w:p>
      <w:pPr>
        <w:pStyle w:val="Heading4"/>
      </w:pPr>
      <w:r>
        <w:t xml:space="preserve">Learning Objectives</w:t>
      </w:r>
    </w:p>
    <w:p>
      <w:pPr>
        <w:pStyle w:val="Compact"/>
        <w:numPr>
          <w:ilvl w:val="0"/>
          <w:numId w:val="1005"/>
        </w:numPr>
      </w:pPr>
      <w:r>
        <w:t xml:space="preserve">Understand the clinical and laboratory diagnostic criteria for Neisseria meningitidis.</w:t>
      </w:r>
    </w:p>
    <w:p>
      <w:pPr>
        <w:pStyle w:val="Compact"/>
        <w:numPr>
          <w:ilvl w:val="0"/>
          <w:numId w:val="1005"/>
        </w:numPr>
      </w:pPr>
      <w:r>
        <w:t xml:space="preserve">Recognize the importance of comprehensive vaccination to prevent outbreaks.</w:t>
      </w:r>
    </w:p>
    <w:p>
      <w:pPr>
        <w:pStyle w:val="Compact"/>
        <w:numPr>
          <w:ilvl w:val="0"/>
          <w:numId w:val="1005"/>
        </w:numPr>
      </w:pPr>
      <w:r>
        <w:t xml:space="preserve">Learn appropriate public health interventions to manage and control meningococcal disease outbreaks.</w:t>
      </w:r>
    </w:p>
    <w:p>
      <w:pPr>
        <w:pStyle w:val="Compact"/>
        <w:numPr>
          <w:ilvl w:val="0"/>
          <w:numId w:val="1005"/>
        </w:numPr>
      </w:pPr>
      <w:r>
        <w:t xml:space="preserve">Appreciate the role of close-contact prophylaxis to mitigate the risk of subsequent cases.</w:t>
      </w:r>
    </w:p>
    <w:p>
      <w:pPr>
        <w:pStyle w:val="Compact"/>
        <w:numPr>
          <w:ilvl w:val="0"/>
          <w:numId w:val="1005"/>
        </w:numPr>
      </w:pPr>
      <w:r>
        <w:t xml:space="preserve">Review the steps for effective communication of health risks and vaccination benefits to the target population.</w:t>
      </w:r>
    </w:p>
    <w:bookmarkEnd w:id="31"/>
    <w:bookmarkStart w:id="32" w:name="actions-and-outcomes"/>
    <w:p>
      <w:pPr>
        <w:pStyle w:val="Heading4"/>
      </w:pPr>
      <w:r>
        <w:t xml:space="preserve">Actions and Outcomes</w:t>
      </w:r>
    </w:p>
    <w:p>
      <w:pPr>
        <w:pStyle w:val="Compact"/>
        <w:numPr>
          <w:ilvl w:val="0"/>
          <w:numId w:val="1006"/>
        </w:numPr>
      </w:pPr>
      <w:r>
        <w:t xml:space="preserve">Immediate administration of intravenous antibiotics (ceftriaxone) to the index patient.</w:t>
      </w:r>
    </w:p>
    <w:p>
      <w:pPr>
        <w:pStyle w:val="Compact"/>
        <w:numPr>
          <w:ilvl w:val="0"/>
          <w:numId w:val="1006"/>
        </w:numPr>
      </w:pPr>
      <w:r>
        <w:t xml:space="preserve">Prophylactic antibiotics (rifampin or ciprofloxacin) provided to close contacts, including those in the dormitory.</w:t>
      </w:r>
    </w:p>
    <w:p>
      <w:pPr>
        <w:pStyle w:val="Compact"/>
        <w:numPr>
          <w:ilvl w:val="0"/>
          <w:numId w:val="1006"/>
        </w:numPr>
      </w:pPr>
      <w:r>
        <w:t xml:space="preserve">Urgent communication with local health departments and the college’s health services.</w:t>
      </w:r>
    </w:p>
    <w:p>
      <w:pPr>
        <w:pStyle w:val="Compact"/>
        <w:numPr>
          <w:ilvl w:val="0"/>
          <w:numId w:val="1006"/>
        </w:numPr>
      </w:pPr>
      <w:r>
        <w:t xml:space="preserve">Organization of vaccination drives for the meningococcal B vaccine.</w:t>
      </w:r>
    </w:p>
    <w:p>
      <w:pPr>
        <w:pStyle w:val="Compact"/>
        <w:numPr>
          <w:ilvl w:val="0"/>
          <w:numId w:val="1006"/>
        </w:numPr>
      </w:pPr>
      <w:r>
        <w:t xml:space="preserve">Initiation of public health education campaigns focusing on symptoms and prevention of meningococcal disease.</w:t>
      </w:r>
    </w:p>
    <w:bookmarkEnd w:id="32"/>
    <w:bookmarkStart w:id="33" w:name="reflection"/>
    <w:p>
      <w:pPr>
        <w:pStyle w:val="Heading4"/>
      </w:pPr>
      <w:r>
        <w:t xml:space="preserve">Reflection</w:t>
      </w:r>
    </w:p>
    <w:p>
      <w:pPr>
        <w:pStyle w:val="FirstParagraph"/>
      </w:pPr>
      <w:r>
        <w:t xml:space="preserve">The rapid identification and response to the initial case of Neisseria meningitidis were critical in preventing a more extensive outbreak in a high-risk setting. The importance of vaccination, particularly the meningococcal B vaccine, was underscored through this experience. The case also highlighted the necessity for multidisciplinary coordination among healthcare providers, public health officials, and educational institutions.</w:t>
      </w:r>
    </w:p>
    <w:bookmarkEnd w:id="33"/>
    <w:bookmarkStart w:id="34" w:name="discussion-questions"/>
    <w:p>
      <w:pPr>
        <w:pStyle w:val="Heading4"/>
      </w:pPr>
      <w:r>
        <w:t xml:space="preserve">Discussion Questions</w:t>
      </w:r>
    </w:p>
    <w:p>
      <w:pPr>
        <w:pStyle w:val="Compact"/>
        <w:numPr>
          <w:ilvl w:val="0"/>
          <w:numId w:val="1007"/>
        </w:numPr>
      </w:pPr>
      <w:r>
        <w:t xml:space="preserve">What are the key differences in clinical presentation between bacterial and viral meningitis?</w:t>
      </w:r>
    </w:p>
    <w:p>
      <w:pPr>
        <w:pStyle w:val="Compact"/>
        <w:numPr>
          <w:ilvl w:val="0"/>
          <w:numId w:val="1007"/>
        </w:numPr>
      </w:pPr>
      <w:r>
        <w:t xml:space="preserve">How can public health authorities balance the urgency of an outbreak response with the logistics of mass vaccination?</w:t>
      </w:r>
    </w:p>
    <w:p>
      <w:pPr>
        <w:pStyle w:val="Compact"/>
        <w:numPr>
          <w:ilvl w:val="0"/>
          <w:numId w:val="1007"/>
        </w:numPr>
      </w:pPr>
      <w:r>
        <w:t xml:space="preserve">In what ways could awareness and education about Neisseria meningitidis be improved among high-risk populations?</w:t>
      </w:r>
    </w:p>
    <w:p>
      <w:pPr>
        <w:pStyle w:val="Compact"/>
        <w:numPr>
          <w:ilvl w:val="0"/>
          <w:numId w:val="1007"/>
        </w:numPr>
      </w:pPr>
      <w:r>
        <w:t xml:space="preserve">What are the potential barriers to widespread immunization against serogroup B meningococcal disease and how can they be overcome?</w:t>
      </w:r>
    </w:p>
    <w:p>
      <w:pPr>
        <w:pStyle w:val="Compact"/>
        <w:numPr>
          <w:ilvl w:val="0"/>
          <w:numId w:val="1007"/>
        </w:numPr>
      </w:pPr>
      <w:r>
        <w:t xml:space="preserve">How can lessons from this case be applied to emerging infectious disease threats in similar settings?</w:t>
      </w:r>
    </w:p>
    <w:p>
      <w:pPr>
        <w:pStyle w:val="FirstParagraph"/>
      </w:pPr>
      <w:r>
        <w:t xml:space="preserve">This case summary encapsulates the critical elements associated with an outbreak of Neisseria meningitidis, highlights the importance of vaccination and public health coordination, and provides a framework for reflection and learning for healthcare professionals, particularly public health nurses.</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nesseria-meningitis1.docx" TargetMode="External" /><Relationship Type="http://schemas.openxmlformats.org/officeDocument/2006/relationships/hyperlink" Id="rId20" Target="nesseria-meningitis1.pdf" TargetMode="External" /></Relationships>
</file>

<file path=word/_rels/footnotes.xml.rels><?xml version="1.0" encoding="UTF-8"?><Relationships xmlns="http://schemas.openxmlformats.org/package/2006/relationships"><Relationship Type="http://schemas.openxmlformats.org/officeDocument/2006/relationships/hyperlink" Id="rId21" Target="nesseria-meningitis1.docx" TargetMode="External" /><Relationship Type="http://schemas.openxmlformats.org/officeDocument/2006/relationships/hyperlink" Id="rId20" Target="nesseria-meningitis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2024-06-27T15:18:06Z</dcterms:created>
  <dcterms:modified xsi:type="dcterms:W3CDTF">2024-06-27T15:18:06Z</dcterms:modified>
</cp:coreProperties>
</file>

<file path=docProps/custom.xml><?xml version="1.0" encoding="utf-8"?>
<Properties xmlns="http://schemas.openxmlformats.org/officeDocument/2006/custom-properties" xmlns:vt="http://schemas.openxmlformats.org/officeDocument/2006/docPropsVTypes"/>
</file>