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nesseria-meningitis-case-summary"/>
    <w:p>
      <w:pPr>
        <w:pStyle w:val="Heading1"/>
      </w:pPr>
      <w:r>
        <w:t xml:space="preserve">Nesseria Meningitis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37" w:name="X3921ac9be358a8d500b501bc2c82269bb697e52"/>
    <w:p>
      <w:pPr>
        <w:pStyle w:val="Heading2"/>
      </w:pPr>
      <w:r>
        <w:t xml:space="preserve">Case Summary: Education of a Public Health Nurse on Nesseria Meningitis</w:t>
      </w:r>
    </w:p>
    <w:bookmarkStart w:id="25" w:name="background"/>
    <w:p>
      <w:pPr>
        <w:pStyle w:val="Heading3"/>
      </w:pPr>
      <w:r>
        <w:t xml:space="preserve">Background</w:t>
      </w:r>
    </w:p>
    <w:bookmarkStart w:id="22" w:name="etiology"/>
    <w:p>
      <w:pPr>
        <w:pStyle w:val="Heading4"/>
      </w:pPr>
      <w:r>
        <w:t xml:space="preserve">Etiology</w:t>
      </w:r>
    </w:p>
    <w:p>
      <w:pPr>
        <w:pStyle w:val="FirstParagraph"/>
      </w:pPr>
      <w:r>
        <w:t xml:space="preserve">Nesseria meningitidis, often referred to as meningococcus, is a Gram-negative diplococcus bacterium. It causes bacterial meningitis and other forms of meningococcal disease such as septicemia. There are several serogroups of N. meningitidis, with A, B, C, W, X, and Y being the most clinically significant.</w:t>
      </w:r>
    </w:p>
    <w:bookmarkEnd w:id="22"/>
    <w:bookmarkStart w:id="23" w:name="epidemiology"/>
    <w:p>
      <w:pPr>
        <w:pStyle w:val="Heading4"/>
      </w:pPr>
      <w:r>
        <w:t xml:space="preserve">Epidemiology</w:t>
      </w:r>
    </w:p>
    <w:p>
      <w:pPr>
        <w:pStyle w:val="FirstParagraph"/>
      </w:pPr>
      <w:r>
        <w:t xml:space="preserve">Meningococcal disease is a significant public health concern globally. The incidence varies by geographical region, being higher in the</w:t>
      </w:r>
      <w:r>
        <w:t xml:space="preserve"> </w:t>
      </w:r>
      <w:r>
        <w:t xml:space="preserve">“</w:t>
      </w:r>
      <w:r>
        <w:t xml:space="preserve">meningitis belt</w:t>
      </w:r>
      <w:r>
        <w:t xml:space="preserve">”</w:t>
      </w:r>
      <w:r>
        <w:t xml:space="preserve"> </w:t>
      </w:r>
      <w:r>
        <w:t xml:space="preserve">of sub-Saharan Africa. Outbreaks can occur in settings such as schools, colleges, and military barracks. Vaccination strategies have significantly reduced the incidence in many regions, notably in countries that have implemented routine vaccination for serogroups A, C, W, and Y.</w:t>
      </w:r>
    </w:p>
    <w:bookmarkEnd w:id="23"/>
    <w:bookmarkStart w:id="24" w:name="transmission"/>
    <w:p>
      <w:pPr>
        <w:pStyle w:val="Heading4"/>
      </w:pPr>
      <w:r>
        <w:t xml:space="preserve">Transmission</w:t>
      </w:r>
    </w:p>
    <w:p>
      <w:pPr>
        <w:pStyle w:val="FirstParagraph"/>
      </w:pPr>
      <w:r>
        <w:t xml:space="preserve">N. meningitidis is spread through respiratory droplets and close contact with an infected person, such as coughing, sneezing, or sharing utensils. It can colonize the nasopharynx of healthy individuals, a state known as asymptomatic carriage. Transition from asymptomatic carriage to invasive disease can occur, though it is not fully understood why this happens in some individuals and not others.</w:t>
      </w:r>
    </w:p>
    <w:bookmarkEnd w:id="24"/>
    <w:bookmarkEnd w:id="25"/>
    <w:bookmarkStart w:id="29" w:name="patient-profile"/>
    <w:p>
      <w:pPr>
        <w:pStyle w:val="Heading3"/>
      </w:pPr>
      <w:r>
        <w:t xml:space="preserve">Patient Profile</w:t>
      </w:r>
    </w:p>
    <w:bookmarkStart w:id="26" w:name="demographics"/>
    <w:p>
      <w:pPr>
        <w:pStyle w:val="Heading4"/>
      </w:pPr>
      <w:r>
        <w:t xml:space="preserve">Demographics</w:t>
      </w:r>
    </w:p>
    <w:p>
      <w:pPr>
        <w:pStyle w:val="FirstParagraph"/>
      </w:pPr>
      <w:r>
        <w:t xml:space="preserve">A typical patient may vary widely in age but often falls within two high-risk groups:</w:t>
      </w:r>
      <w:r>
        <w:t xml:space="preserve"> </w:t>
      </w:r>
      <w:r>
        <w:t xml:space="preserve">- Infants and young children (under 5 years)</w:t>
      </w:r>
      <w:r>
        <w:t xml:space="preserve"> </w:t>
      </w:r>
      <w:r>
        <w:t xml:space="preserve">- Adolescents and young adults (ages 16-23)</w:t>
      </w:r>
    </w:p>
    <w:bookmarkEnd w:id="26"/>
    <w:bookmarkStart w:id="27" w:name="symptoms"/>
    <w:p>
      <w:pPr>
        <w:pStyle w:val="Heading4"/>
      </w:pPr>
      <w:r>
        <w:t xml:space="preserve">Symptoms</w:t>
      </w:r>
    </w:p>
    <w:p>
      <w:pPr>
        <w:pStyle w:val="FirstParagraph"/>
      </w:pPr>
      <w:r>
        <w:t xml:space="preserve">Symptoms of meningococcal meningitis can develop rapidly and include:</w:t>
      </w:r>
      <w:r>
        <w:t xml:space="preserve"> </w:t>
      </w:r>
      <w:r>
        <w:t xml:space="preserve">- High fever</w:t>
      </w:r>
      <w:r>
        <w:t xml:space="preserve"> </w:t>
      </w:r>
      <w:r>
        <w:t xml:space="preserve">- Severe headache</w:t>
      </w:r>
      <w:r>
        <w:t xml:space="preserve"> </w:t>
      </w:r>
      <w:r>
        <w:t xml:space="preserve">- Stiff neck</w:t>
      </w:r>
      <w:r>
        <w:t xml:space="preserve"> </w:t>
      </w:r>
      <w:r>
        <w:t xml:space="preserve">- Nausea and vomiting</w:t>
      </w:r>
      <w:r>
        <w:t xml:space="preserve"> </w:t>
      </w:r>
      <w:r>
        <w:t xml:space="preserve">- Photophobia (sensitivity to light)</w:t>
      </w:r>
      <w:r>
        <w:t xml:space="preserve"> </w:t>
      </w:r>
      <w:r>
        <w:t xml:space="preserve">- Altered mental status (confusion or lethargy)</w:t>
      </w:r>
    </w:p>
    <w:p>
      <w:pPr>
        <w:pStyle w:val="BodyText"/>
      </w:pPr>
      <w:r>
        <w:t xml:space="preserve">Additional symptoms in meningococcal septicemia include:</w:t>
      </w:r>
      <w:r>
        <w:t xml:space="preserve"> </w:t>
      </w:r>
      <w:r>
        <w:t xml:space="preserve">- A non-blanching rash</w:t>
      </w:r>
      <w:r>
        <w:t xml:space="preserve"> </w:t>
      </w:r>
      <w:r>
        <w:t xml:space="preserve">- Cold hands and feet</w:t>
      </w:r>
      <w:r>
        <w:t xml:space="preserve"> </w:t>
      </w:r>
      <w:r>
        <w:t xml:space="preserve">- Severe muscle aches</w:t>
      </w:r>
      <w:r>
        <w:t xml:space="preserve"> </w:t>
      </w:r>
      <w:r>
        <w:t xml:space="preserve">- Rapid breathing or shortness of breath</w:t>
      </w:r>
    </w:p>
    <w:bookmarkEnd w:id="27"/>
    <w:bookmarkStart w:id="28" w:name="testing"/>
    <w:p>
      <w:pPr>
        <w:pStyle w:val="Heading4"/>
      </w:pPr>
      <w:r>
        <w:t xml:space="preserve">Testing</w:t>
      </w:r>
    </w:p>
    <w:p>
      <w:pPr>
        <w:pStyle w:val="FirstParagraph"/>
      </w:pPr>
      <w:r>
        <w:t xml:space="preserve">A definitive diagnosis involves:</w:t>
      </w:r>
      <w:r>
        <w:t xml:space="preserve"> </w:t>
      </w:r>
      <w:r>
        <w:t xml:space="preserve">- Collecting cerebrospinal fluid (CSF) via lumbar puncture and conducting Gram staining, culture, and polymerase chain reaction (PCR) tests.</w:t>
      </w:r>
      <w:r>
        <w:t xml:space="preserve"> </w:t>
      </w:r>
      <w:r>
        <w:t xml:space="preserve">- Blood cultures to identify bacteremia.</w:t>
      </w:r>
      <w:r>
        <w:t xml:space="preserve"> </w:t>
      </w:r>
      <w:r>
        <w:t xml:space="preserve">- Rapid antigen tests can provide preliminary results.</w:t>
      </w:r>
    </w:p>
    <w:bookmarkEnd w:id="28"/>
    <w:bookmarkEnd w:id="29"/>
    <w:bookmarkStart w:id="30" w:name="subsequent-cases-if-applicable"/>
    <w:p>
      <w:pPr>
        <w:pStyle w:val="Heading3"/>
      </w:pPr>
      <w:r>
        <w:t xml:space="preserve">Subsequent Cases (if applicable)</w:t>
      </w:r>
    </w:p>
    <w:p>
      <w:pPr>
        <w:pStyle w:val="FirstParagraph"/>
      </w:pPr>
      <w:r>
        <w:t xml:space="preserve">There could be multiple secondary cases in settings like dormitories, classrooms, or military barracks. Public health authorities may need to implement measures like prophylactic antibiotics for close contacts and possible vaccination to control an outbreak.</w:t>
      </w:r>
    </w:p>
    <w:bookmarkEnd w:id="30"/>
    <w:bookmarkStart w:id="31" w:name="learning-objectives"/>
    <w:p>
      <w:pPr>
        <w:pStyle w:val="Heading3"/>
      </w:pPr>
      <w:r>
        <w:t xml:space="preserve">Learning Objectives</w:t>
      </w:r>
    </w:p>
    <w:p>
      <w:pPr>
        <w:pStyle w:val="Compact"/>
        <w:numPr>
          <w:ilvl w:val="0"/>
          <w:numId w:val="1002"/>
        </w:numPr>
      </w:pPr>
      <w:r>
        <w:t xml:space="preserve">Understand the etiology, epidemiology, and transmission of Nesseria meningitidis.</w:t>
      </w:r>
    </w:p>
    <w:p>
      <w:pPr>
        <w:pStyle w:val="Compact"/>
        <w:numPr>
          <w:ilvl w:val="0"/>
          <w:numId w:val="1002"/>
        </w:numPr>
      </w:pPr>
      <w:r>
        <w:t xml:space="preserve">Identify the clinical manifestations and the significance of rapid symptom progression.</w:t>
      </w:r>
    </w:p>
    <w:p>
      <w:pPr>
        <w:pStyle w:val="Compact"/>
        <w:numPr>
          <w:ilvl w:val="0"/>
          <w:numId w:val="1002"/>
        </w:numPr>
      </w:pPr>
      <w:r>
        <w:t xml:space="preserve">Outline the diagnostic procedures for meningococcal disease.</w:t>
      </w:r>
    </w:p>
    <w:p>
      <w:pPr>
        <w:pStyle w:val="Compact"/>
        <w:numPr>
          <w:ilvl w:val="0"/>
          <w:numId w:val="1002"/>
        </w:numPr>
      </w:pPr>
      <w:r>
        <w:t xml:space="preserve">Implement prevention strategies, including vaccination and prophylactic antibiotics.</w:t>
      </w:r>
    </w:p>
    <w:bookmarkEnd w:id="31"/>
    <w:bookmarkStart w:id="34" w:name="actions-and-outcomes"/>
    <w:p>
      <w:pPr>
        <w:pStyle w:val="Heading3"/>
      </w:pPr>
      <w:r>
        <w:t xml:space="preserve">Actions and Outcomes</w:t>
      </w:r>
    </w:p>
    <w:bookmarkStart w:id="32" w:name="actions"/>
    <w:p>
      <w:pPr>
        <w:pStyle w:val="Heading4"/>
      </w:pPr>
      <w:r>
        <w:t xml:space="preserve">Actions</w:t>
      </w:r>
    </w:p>
    <w:p>
      <w:pPr>
        <w:pStyle w:val="Compact"/>
        <w:numPr>
          <w:ilvl w:val="0"/>
          <w:numId w:val="1003"/>
        </w:numPr>
      </w:pPr>
      <w:r>
        <w:t xml:space="preserve">Immediate isolation of the suspected case.</w:t>
      </w:r>
    </w:p>
    <w:p>
      <w:pPr>
        <w:pStyle w:val="Compact"/>
        <w:numPr>
          <w:ilvl w:val="0"/>
          <w:numId w:val="1003"/>
        </w:numPr>
      </w:pPr>
      <w:r>
        <w:t xml:space="preserve">Administer intravenous antibiotics empirically before confirmation of the diagnosis:</w:t>
      </w:r>
    </w:p>
    <w:p>
      <w:pPr>
        <w:pStyle w:val="Compact"/>
        <w:numPr>
          <w:ilvl w:val="1"/>
          <w:numId w:val="1004"/>
        </w:numPr>
      </w:pPr>
      <w:r>
        <w:t xml:space="preserve">Common choices include third-generation cephalosporins like ceftriaxone or cefotaxime.</w:t>
      </w:r>
    </w:p>
    <w:p>
      <w:pPr>
        <w:pStyle w:val="Compact"/>
        <w:numPr>
          <w:ilvl w:val="0"/>
          <w:numId w:val="1003"/>
        </w:numPr>
      </w:pPr>
      <w:r>
        <w:t xml:space="preserve">Notify public health authorities to initiate contact tracing.</w:t>
      </w:r>
    </w:p>
    <w:p>
      <w:pPr>
        <w:pStyle w:val="Compact"/>
        <w:numPr>
          <w:ilvl w:val="0"/>
          <w:numId w:val="1003"/>
        </w:numPr>
      </w:pPr>
      <w:r>
        <w:t xml:space="preserve">Provide prophylactic antibiotics to close contacts:</w:t>
      </w:r>
    </w:p>
    <w:p>
      <w:pPr>
        <w:pStyle w:val="Compact"/>
        <w:numPr>
          <w:ilvl w:val="1"/>
          <w:numId w:val="1005"/>
        </w:numPr>
      </w:pPr>
      <w:r>
        <w:t xml:space="preserve">Recommended regimens include rifampin, ciprofloxacin, or ceftriaxone.</w:t>
      </w:r>
    </w:p>
    <w:p>
      <w:pPr>
        <w:pStyle w:val="Compact"/>
        <w:numPr>
          <w:ilvl w:val="0"/>
          <w:numId w:val="1003"/>
        </w:numPr>
      </w:pPr>
      <w:r>
        <w:t xml:space="preserve">Engage in public education campaigns about vaccination and early symptom recognition.</w:t>
      </w:r>
    </w:p>
    <w:bookmarkEnd w:id="32"/>
    <w:bookmarkStart w:id="33" w:name="outcomes"/>
    <w:p>
      <w:pPr>
        <w:pStyle w:val="Heading4"/>
      </w:pPr>
      <w:r>
        <w:t xml:space="preserve">Outcomes</w:t>
      </w:r>
    </w:p>
    <w:p>
      <w:pPr>
        <w:pStyle w:val="Compact"/>
        <w:numPr>
          <w:ilvl w:val="0"/>
          <w:numId w:val="1006"/>
        </w:numPr>
      </w:pPr>
      <w:r>
        <w:t xml:space="preserve">Early identification and treatment improve patient survival rates.</w:t>
      </w:r>
    </w:p>
    <w:p>
      <w:pPr>
        <w:pStyle w:val="Compact"/>
        <w:numPr>
          <w:ilvl w:val="0"/>
          <w:numId w:val="1006"/>
        </w:numPr>
      </w:pPr>
      <w:r>
        <w:t xml:space="preserve">Prophylactic measures for contacts reduce the risk of secondary cases.</w:t>
      </w:r>
    </w:p>
    <w:p>
      <w:pPr>
        <w:pStyle w:val="Compact"/>
        <w:numPr>
          <w:ilvl w:val="0"/>
          <w:numId w:val="1006"/>
        </w:numPr>
      </w:pPr>
      <w:r>
        <w:t xml:space="preserve">Ongoing surveillance and vaccination strategies contribute to long-term control of the disease.</w:t>
      </w:r>
    </w:p>
    <w:bookmarkEnd w:id="33"/>
    <w:bookmarkEnd w:id="34"/>
    <w:bookmarkStart w:id="35" w:name="reflection"/>
    <w:p>
      <w:pPr>
        <w:pStyle w:val="Heading3"/>
      </w:pPr>
      <w:r>
        <w:t xml:space="preserve">Reflection</w:t>
      </w:r>
    </w:p>
    <w:p>
      <w:pPr>
        <w:pStyle w:val="FirstParagraph"/>
      </w:pPr>
      <w:r>
        <w:t xml:space="preserve">Reflect upon the challenges of early diagnosis, the importance of rapid intervention, and the public health strategies needed to manage and prevent meningococcal disease. Consider the role of public health nurses in educating the community, managing outbreaks, and advocating for vaccination programs.</w:t>
      </w:r>
    </w:p>
    <w:bookmarkEnd w:id="35"/>
    <w:bookmarkStart w:id="36" w:name="discussion-questions"/>
    <w:p>
      <w:pPr>
        <w:pStyle w:val="Heading3"/>
      </w:pPr>
      <w:r>
        <w:t xml:space="preserve">Discussion Questions</w:t>
      </w:r>
    </w:p>
    <w:p>
      <w:pPr>
        <w:pStyle w:val="Compact"/>
        <w:numPr>
          <w:ilvl w:val="0"/>
          <w:numId w:val="1007"/>
        </w:numPr>
      </w:pPr>
      <w:r>
        <w:t xml:space="preserve">What are the barriers to early diagnosis and treatment of Nesseria meningitidis in community settings?</w:t>
      </w:r>
    </w:p>
    <w:p>
      <w:pPr>
        <w:pStyle w:val="Compact"/>
        <w:numPr>
          <w:ilvl w:val="0"/>
          <w:numId w:val="1007"/>
        </w:numPr>
      </w:pPr>
      <w:r>
        <w:t xml:space="preserve">How can public health nurses effectively communicate the importance of vaccination to diverse populations?</w:t>
      </w:r>
    </w:p>
    <w:p>
      <w:pPr>
        <w:pStyle w:val="Compact"/>
        <w:numPr>
          <w:ilvl w:val="0"/>
          <w:numId w:val="1007"/>
        </w:numPr>
      </w:pPr>
      <w:r>
        <w:t xml:space="preserve">What are the ethical implications of implementing mandatory vaccination programs in high-risk populations?</w:t>
      </w:r>
    </w:p>
    <w:p>
      <w:pPr>
        <w:pStyle w:val="Compact"/>
        <w:numPr>
          <w:ilvl w:val="0"/>
          <w:numId w:val="1007"/>
        </w:numPr>
      </w:pPr>
      <w:r>
        <w:t xml:space="preserve">How can public health officials balance individual privacy with community safety during an outbreak of meningococcal disease?</w:t>
      </w:r>
    </w:p>
    <w:p>
      <w:pPr>
        <w:pStyle w:val="FirstParagraph"/>
      </w:pPr>
      <w:r>
        <w:t xml:space="preserve">This case summary provides a comprehensive guide for the education of public health nurses on Nesseria meningitidis, emphasizing the needs of early intervention, the importance of preventive measures, and the crucial role of public health in managing infectious diseases.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nesseria-meningitis2.docx" TargetMode="External" /><Relationship Type="http://schemas.openxmlformats.org/officeDocument/2006/relationships/hyperlink" Id="rId20" Target="nesseria-meningitis2.pdf" TargetMode="External" /></Relationships>
</file>

<file path=word/_rels/footnotes.xml.rels><?xml version="1.0" encoding="UTF-8"?><Relationships xmlns="http://schemas.openxmlformats.org/package/2006/relationships"><Relationship Type="http://schemas.openxmlformats.org/officeDocument/2006/relationships/hyperlink" Id="rId21" Target="nesseria-meningitis2.docx" TargetMode="External" /><Relationship Type="http://schemas.openxmlformats.org/officeDocument/2006/relationships/hyperlink" Id="rId20" Target="nesseria-meningitis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2024-06-27T15:18:10Z</dcterms:created>
  <dcterms:modified xsi:type="dcterms:W3CDTF">2024-06-27T15:18:10Z</dcterms:modified>
</cp:coreProperties>
</file>

<file path=docProps/custom.xml><?xml version="1.0" encoding="utf-8"?>
<Properties xmlns="http://schemas.openxmlformats.org/officeDocument/2006/custom-properties" xmlns:vt="http://schemas.openxmlformats.org/officeDocument/2006/docPropsVTypes"/>
</file>