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paratyphoid-case-summary"/>
    <w:p>
      <w:pPr>
        <w:pStyle w:val="Heading1"/>
      </w:pPr>
      <w:r>
        <w:t xml:space="preserve">Paratyphoid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r>
        <w:t xml:space="preserve"> </w:t>
      </w:r>
      <w:r>
        <w:t xml:space="preserve">Paratyphoid fever is an enteric fever caused by the bacterium Salmonella enterica subspecies enterica, serotypes Paratyphi A, B, and C. The disease is similar to typhoid fever, caused by Salmonella Typhi, but generally tends to be less severe. However, it is still a significant public health concern, particularly in areas with inadequate sanitation.</w:t>
      </w:r>
    </w:p>
    <w:p>
      <w:pPr>
        <w:pStyle w:val="BodyText"/>
      </w:pPr>
      <w:r>
        <w:rPr>
          <w:b/>
          <w:bCs/>
        </w:rPr>
        <w:t xml:space="preserve">Epidemiology</w:t>
      </w:r>
      <w:r>
        <w:t xml:space="preserve"> </w:t>
      </w:r>
      <w:r>
        <w:t xml:space="preserve">Paratyphoid fever is endemic in parts of Asia, Africa, the Caribbean, and Central and South America. It is less common in industrialized nations but can occur among travelers returning from endemic areas. The incidence varies widely, with the highest rates reported in South Asia.</w:t>
      </w:r>
    </w:p>
    <w:p>
      <w:pPr>
        <w:pStyle w:val="BodyText"/>
      </w:pPr>
      <w:r>
        <w:rPr>
          <w:b/>
          <w:bCs/>
        </w:rPr>
        <w:t xml:space="preserve">Transmission</w:t>
      </w:r>
      <w:r>
        <w:t xml:space="preserve"> </w:t>
      </w:r>
      <w:r>
        <w:t xml:space="preserve">Paratyphoid fever is transmitted through the ingestion of food or water contaminated with feces from an infected person. It can also be spread through direct person-to-person contact if proper hygiene practices are not followed. The bacteria can survive in the environment for extended periods, particularly in water and food products.</w:t>
      </w:r>
    </w:p>
    <w:bookmarkEnd w:id="22"/>
    <w:bookmarkStart w:id="27" w:name="case-details"/>
    <w:p>
      <w:pPr>
        <w:pStyle w:val="Heading2"/>
      </w:pPr>
      <w:r>
        <w:t xml:space="preserve">Case Details</w:t>
      </w:r>
    </w:p>
    <w:bookmarkStart w:id="23" w:name="demographics"/>
    <w:p>
      <w:pPr>
        <w:pStyle w:val="Heading3"/>
      </w:pPr>
      <w:r>
        <w:t xml:space="preserve">Demographics</w:t>
      </w:r>
    </w:p>
    <w:p>
      <w:pPr>
        <w:pStyle w:val="FirstParagraph"/>
      </w:pPr>
      <w:r>
        <w:t xml:space="preserve">This case involves a 28-year-old female traveler returning from a six-month trip through various Southeast Asian countries, including India, Thailand, and Vietnam. She has no significant past medical history and is generally healthy.</w:t>
      </w:r>
    </w:p>
    <w:bookmarkEnd w:id="23"/>
    <w:bookmarkStart w:id="24" w:name="symptoms"/>
    <w:p>
      <w:pPr>
        <w:pStyle w:val="Heading3"/>
      </w:pPr>
      <w:r>
        <w:t xml:space="preserve">Symptoms</w:t>
      </w:r>
    </w:p>
    <w:p>
      <w:pPr>
        <w:pStyle w:val="FirstParagraph"/>
      </w:pPr>
      <w:r>
        <w:t xml:space="preserve">The patient presents with the following symptoms:</w:t>
      </w:r>
    </w:p>
    <w:p>
      <w:pPr>
        <w:numPr>
          <w:ilvl w:val="0"/>
          <w:numId w:val="1002"/>
        </w:numPr>
      </w:pPr>
      <w:r>
        <w:t xml:space="preserve">High fever (up to 104°F or 40°C)</w:t>
      </w:r>
    </w:p>
    <w:p>
      <w:pPr>
        <w:numPr>
          <w:ilvl w:val="0"/>
          <w:numId w:val="1002"/>
        </w:numPr>
      </w:pPr>
      <w:r>
        <w:t xml:space="preserve">Malaise</w:t>
      </w:r>
    </w:p>
    <w:p>
      <w:pPr>
        <w:numPr>
          <w:ilvl w:val="0"/>
          <w:numId w:val="1002"/>
        </w:numPr>
      </w:pPr>
      <w:r>
        <w:t xml:space="preserve">Abdominal discomfort or pain</w:t>
      </w:r>
    </w:p>
    <w:p>
      <w:pPr>
        <w:numPr>
          <w:ilvl w:val="0"/>
          <w:numId w:val="1002"/>
        </w:numPr>
      </w:pPr>
      <w:r>
        <w:t xml:space="preserve">Diarrhea, followed by constipation</w:t>
      </w:r>
    </w:p>
    <w:p>
      <w:pPr>
        <w:numPr>
          <w:ilvl w:val="0"/>
          <w:numId w:val="1002"/>
        </w:numPr>
      </w:pPr>
      <w:r>
        <w:t xml:space="preserve">Rose-colored spots on the trunk</w:t>
      </w:r>
    </w:p>
    <w:p>
      <w:pPr>
        <w:numPr>
          <w:ilvl w:val="0"/>
          <w:numId w:val="1002"/>
        </w:numPr>
      </w:pPr>
      <w:r>
        <w:t xml:space="preserve">Headache</w:t>
      </w:r>
    </w:p>
    <w:p>
      <w:pPr>
        <w:numPr>
          <w:ilvl w:val="0"/>
          <w:numId w:val="1002"/>
        </w:numPr>
      </w:pPr>
      <w:r>
        <w:t xml:space="preserve">Anorexia</w:t>
      </w:r>
    </w:p>
    <w:p>
      <w:pPr>
        <w:numPr>
          <w:ilvl w:val="0"/>
          <w:numId w:val="1002"/>
        </w:numPr>
      </w:pPr>
      <w:r>
        <w:t xml:space="preserve">Hepatosplenomegaly (enlarged liver and spleen)</w:t>
      </w:r>
    </w:p>
    <w:bookmarkEnd w:id="24"/>
    <w:bookmarkStart w:id="25" w:name="testing"/>
    <w:p>
      <w:pPr>
        <w:pStyle w:val="Heading3"/>
      </w:pPr>
      <w:r>
        <w:t xml:space="preserve">Testing</w:t>
      </w:r>
    </w:p>
    <w:p>
      <w:pPr>
        <w:pStyle w:val="FirstParagraph"/>
      </w:pPr>
      <w:r>
        <w:t xml:space="preserve">Upon clinical examination and considering the travel history, the following tests were conducted:</w:t>
      </w:r>
    </w:p>
    <w:p>
      <w:pPr>
        <w:numPr>
          <w:ilvl w:val="0"/>
          <w:numId w:val="1003"/>
        </w:numPr>
      </w:pPr>
      <w:r>
        <w:t xml:space="preserve">Blood cultures: Positive for Salmonella Paratyphi A.</w:t>
      </w:r>
    </w:p>
    <w:p>
      <w:pPr>
        <w:numPr>
          <w:ilvl w:val="0"/>
          <w:numId w:val="1003"/>
        </w:numPr>
      </w:pPr>
      <w:r>
        <w:t xml:space="preserve">Stool cultures: Positive for Salmonella Paratyphi A.</w:t>
      </w:r>
    </w:p>
    <w:p>
      <w:pPr>
        <w:numPr>
          <w:ilvl w:val="0"/>
          <w:numId w:val="1003"/>
        </w:numPr>
      </w:pPr>
      <w:r>
        <w:t xml:space="preserve">Complete blood count (CBC): Shows leukopenia.</w:t>
      </w:r>
    </w:p>
    <w:p>
      <w:pPr>
        <w:numPr>
          <w:ilvl w:val="0"/>
          <w:numId w:val="1003"/>
        </w:numPr>
      </w:pPr>
      <w:r>
        <w:t xml:space="preserve">Liver function tests (LFTs): Mildly elevated.</w:t>
      </w:r>
    </w:p>
    <w:bookmarkEnd w:id="25"/>
    <w:bookmarkStart w:id="26" w:name="subsequent-cases"/>
    <w:p>
      <w:pPr>
        <w:pStyle w:val="Heading3"/>
      </w:pPr>
      <w:r>
        <w:t xml:space="preserve">Subsequent Cases</w:t>
      </w:r>
    </w:p>
    <w:p>
      <w:pPr>
        <w:pStyle w:val="FirstParagraph"/>
      </w:pPr>
      <w:r>
        <w:t xml:space="preserve">No secondary cases were reported among the patient’s close contacts, indicating effective isolation and preventive measures upon diagnosis.</w:t>
      </w:r>
    </w:p>
    <w:bookmarkEnd w:id="26"/>
    <w:bookmarkEnd w:id="27"/>
    <w:bookmarkStart w:id="32" w:name="learning-objectives"/>
    <w:p>
      <w:pPr>
        <w:pStyle w:val="Heading2"/>
      </w:pPr>
      <w:r>
        <w:t xml:space="preserve">Learning Objectives</w:t>
      </w:r>
    </w:p>
    <w:p>
      <w:pPr>
        <w:pStyle w:val="Compact"/>
        <w:numPr>
          <w:ilvl w:val="0"/>
          <w:numId w:val="1004"/>
        </w:numPr>
      </w:pPr>
      <w:r>
        <w:t xml:space="preserve">Understand the etiology, epidemiology, and transmission pathways of paratyphoid fever.</w:t>
      </w:r>
    </w:p>
    <w:p>
      <w:pPr>
        <w:pStyle w:val="Compact"/>
        <w:numPr>
          <w:ilvl w:val="0"/>
          <w:numId w:val="1004"/>
        </w:numPr>
      </w:pPr>
      <w:r>
        <w:t xml:space="preserve">Identify the clinical presentation and diagnostic criteria for paratyphoid fever.</w:t>
      </w:r>
    </w:p>
    <w:p>
      <w:pPr>
        <w:pStyle w:val="Compact"/>
        <w:numPr>
          <w:ilvl w:val="0"/>
          <w:numId w:val="1004"/>
        </w:numPr>
      </w:pPr>
      <w:r>
        <w:t xml:space="preserve">Implement effective preventive measures to control the spread within communities.</w:t>
      </w:r>
    </w:p>
    <w:p>
      <w:pPr>
        <w:pStyle w:val="Compact"/>
        <w:numPr>
          <w:ilvl w:val="0"/>
          <w:numId w:val="1004"/>
        </w:numPr>
      </w:pPr>
      <w:r>
        <w:t xml:space="preserve">Understand the treatment protocols and the importance of patient education for preventing recurrence and spread.</w:t>
      </w:r>
    </w:p>
    <w:bookmarkStart w:id="31" w:name="actions-and-outcomes"/>
    <w:p>
      <w:pPr>
        <w:pStyle w:val="Heading3"/>
      </w:pPr>
      <w:r>
        <w:t xml:space="preserve">Actions and Outcomes</w:t>
      </w:r>
    </w:p>
    <w:bookmarkStart w:id="28" w:name="treatment"/>
    <w:p>
      <w:pPr>
        <w:pStyle w:val="Heading4"/>
      </w:pPr>
      <w:r>
        <w:t xml:space="preserve">Treatment</w:t>
      </w:r>
    </w:p>
    <w:p>
      <w:pPr>
        <w:pStyle w:val="FirstParagraph"/>
      </w:pPr>
      <w:r>
        <w:t xml:space="preserve">The patient was started on an appropriate antibiotic regimen, based on sensitivity testing, which included Ciprofloxacin for 14 days. Supportive care such as hydration and nutritional support were also administered.</w:t>
      </w:r>
    </w:p>
    <w:bookmarkEnd w:id="28"/>
    <w:bookmarkStart w:id="29" w:name="public-health-measures"/>
    <w:p>
      <w:pPr>
        <w:pStyle w:val="Heading4"/>
      </w:pPr>
      <w:r>
        <w:t xml:space="preserve">Public Health Measures</w:t>
      </w:r>
    </w:p>
    <w:p>
      <w:pPr>
        <w:numPr>
          <w:ilvl w:val="0"/>
          <w:numId w:val="1005"/>
        </w:numPr>
      </w:pPr>
      <w:r>
        <w:t xml:space="preserve">The affected individual was educated on proper hygiene practices to prevent further transmission.</w:t>
      </w:r>
    </w:p>
    <w:p>
      <w:pPr>
        <w:numPr>
          <w:ilvl w:val="0"/>
          <w:numId w:val="1005"/>
        </w:numPr>
      </w:pPr>
      <w:r>
        <w:t xml:space="preserve">Local health authorities were notified to trace the source of infection and implement broader community health measures, including sanitation and safe water practices.</w:t>
      </w:r>
    </w:p>
    <w:p>
      <w:pPr>
        <w:numPr>
          <w:ilvl w:val="0"/>
          <w:numId w:val="1005"/>
        </w:numPr>
      </w:pPr>
      <w:r>
        <w:t xml:space="preserve">Advice given to the patient’s contacts to monitor for symptoms and seek medical attention if any symptoms develop.</w:t>
      </w:r>
    </w:p>
    <w:bookmarkEnd w:id="29"/>
    <w:bookmarkStart w:id="30" w:name="outcome"/>
    <w:p>
      <w:pPr>
        <w:pStyle w:val="Heading4"/>
      </w:pPr>
      <w:r>
        <w:t xml:space="preserve">Outcome</w:t>
      </w:r>
    </w:p>
    <w:p>
      <w:pPr>
        <w:pStyle w:val="FirstParagraph"/>
      </w:pPr>
      <w:r>
        <w:t xml:space="preserve">The patient responded well to the antibiotic treatment, with resolution of fever and gastrointestinal symptoms within days. Follow-up cultures confirmed the clearance of the bacterium from the bloodstream.</w:t>
      </w:r>
    </w:p>
    <w:bookmarkEnd w:id="30"/>
    <w:bookmarkEnd w:id="31"/>
    <w:bookmarkEnd w:id="32"/>
    <w:bookmarkStart w:id="33" w:name="reflection"/>
    <w:p>
      <w:pPr>
        <w:pStyle w:val="Heading2"/>
      </w:pPr>
      <w:r>
        <w:t xml:space="preserve">Reflection</w:t>
      </w:r>
    </w:p>
    <w:p>
      <w:pPr>
        <w:pStyle w:val="FirstParagraph"/>
      </w:pPr>
      <w:r>
        <w:t xml:space="preserve">This case emphasizes the importance of considering travel history in the diagnosis of febrile illnesses, especially enteric fevers like paratyphoid. Timely and accurate diagnosis followed by appropriate treatment is crucial. It also highlights the necessity of hygienic practices and proper infrastructure to prevent such diseases.</w:t>
      </w:r>
    </w:p>
    <w:bookmarkEnd w:id="33"/>
    <w:bookmarkStart w:id="34" w:name="discussion-questions"/>
    <w:p>
      <w:pPr>
        <w:pStyle w:val="Heading2"/>
      </w:pPr>
      <w:r>
        <w:t xml:space="preserve">Discussion Questions</w:t>
      </w:r>
    </w:p>
    <w:p>
      <w:pPr>
        <w:pStyle w:val="Compact"/>
        <w:numPr>
          <w:ilvl w:val="0"/>
          <w:numId w:val="1006"/>
        </w:numPr>
      </w:pPr>
      <w:r>
        <w:t xml:space="preserve">What are the key distinguishing features of paratyphoid fever compared to typhoid fever, and how can they influence treatment?</w:t>
      </w:r>
    </w:p>
    <w:p>
      <w:pPr>
        <w:pStyle w:val="Compact"/>
        <w:numPr>
          <w:ilvl w:val="0"/>
          <w:numId w:val="1006"/>
        </w:numPr>
      </w:pPr>
      <w:r>
        <w:t xml:space="preserve">Considering the modes of transmission of paratyphoid fever, what public health strategies could be most effective in endemic areas?</w:t>
      </w:r>
    </w:p>
    <w:p>
      <w:pPr>
        <w:pStyle w:val="Compact"/>
        <w:numPr>
          <w:ilvl w:val="0"/>
          <w:numId w:val="1006"/>
        </w:numPr>
      </w:pPr>
      <w:r>
        <w:t xml:space="preserve">How does antibiotic resistance impact the treatment of paratyphoid fever, and what measures can be taken to mitigate this issue?</w:t>
      </w:r>
    </w:p>
    <w:p>
      <w:pPr>
        <w:pStyle w:val="Compact"/>
        <w:numPr>
          <w:ilvl w:val="0"/>
          <w:numId w:val="1006"/>
        </w:numPr>
      </w:pPr>
      <w:r>
        <w:t xml:space="preserve">What are the potential complications of paratyphoid fever if left untreated, and how can they be prevented?</w:t>
      </w:r>
    </w:p>
    <w:p>
      <w:pPr>
        <w:pStyle w:val="Compact"/>
        <w:numPr>
          <w:ilvl w:val="0"/>
          <w:numId w:val="1006"/>
        </w:numPr>
      </w:pPr>
      <w:r>
        <w:t xml:space="preserve">How can healthcare providers improve traveler education to reduce the risk of enteric fevers like paratyphoid?</w:t>
      </w:r>
    </w:p>
    <w:p>
      <w:pPr>
        <w:pStyle w:val="FirstParagraph"/>
      </w:pPr>
      <w:r>
        <w:t xml:space="preserve">This comprehensive case summary aims to equip the public health nurse with necessary knowledge and skills to tackle paratyphoid fever effectively, from diagnosis to treatment, and prevention.</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paratyphoid3.docx" TargetMode="External" /><Relationship Type="http://schemas.openxmlformats.org/officeDocument/2006/relationships/hyperlink" Id="rId20" Target="paratyphoid3.pdf" TargetMode="External" /></Relationships>
</file>

<file path=word/_rels/footnotes.xml.rels><?xml version="1.0" encoding="UTF-8"?><Relationships xmlns="http://schemas.openxmlformats.org/package/2006/relationships"><Relationship Type="http://schemas.openxmlformats.org/officeDocument/2006/relationships/hyperlink" Id="rId21" Target="paratyphoid3.docx" TargetMode="External" /><Relationship Type="http://schemas.openxmlformats.org/officeDocument/2006/relationships/hyperlink" Id="rId20" Target="paratyphoid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2024-06-27T17:41:57Z</dcterms:created>
  <dcterms:modified xsi:type="dcterms:W3CDTF">2024-06-27T17:41:57Z</dcterms:modified>
</cp:coreProperties>
</file>

<file path=docProps/custom.xml><?xml version="1.0" encoding="utf-8"?>
<Properties xmlns="http://schemas.openxmlformats.org/officeDocument/2006/custom-properties" xmlns:vt="http://schemas.openxmlformats.org/officeDocument/2006/docPropsVTypes"/>
</file>