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pPr>
      <w:r>
        <w:t>Unidad 2 · De la respuesta a la recomendación</w:t>
      </w:r>
    </w:p>
    <w:p>
      <w:pPr>
        <w:spacing w:after="360"/>
      </w:pPr>
      <w:r>
        <w:rPr>
          <w:color w:val="6E738C"/>
          <w:sz w:val="22"/>
        </w:rPr>
        <w:t>Scala Learning · ejemplo resuelto de la plantilla · el contenido es el real de esta unidad</w:t>
      </w:r>
    </w:p>
    <w:p>
      <w:pPr>
        <w:spacing w:after="160"/>
      </w:pPr>
      <w:r>
        <w:rPr>
          <w:b/>
          <w:i w:val="0"/>
          <w:sz w:val="22"/>
        </w:rPr>
        <w:t xml:space="preserve">Para qué sirve este archivo. </w:t>
      </w:r>
      <w:r>
        <w:rPr>
          <w:b w:val="0"/>
          <w:i w:val="0"/>
          <w:sz w:val="22"/>
        </w:rPr>
        <w:t>Es la unidad que ya se maquetó, escrita como conviene recibirla. Sirve de referencia al escribir una unidad nueva: se ve qué va suelto, qué va en caja y con cuánto detalle.</w:t>
      </w:r>
    </w:p>
    <w:p>
      <w:pPr>
        <w:pStyle w:val="Heading1"/>
      </w:pPr>
      <w:r>
        <w:t>Cómo se lee este documento</w:t>
      </w:r>
    </w:p>
    <w:p>
      <w:pPr>
        <w:spacing w:after="160"/>
      </w:pPr>
      <w:r>
        <w:rPr>
          <w:b w:val="0"/>
          <w:i w:val="0"/>
          <w:sz w:val="22"/>
        </w:rPr>
        <w:t xml:space="preserve">Una sola regla: </w:t>
      </w:r>
      <w:r>
        <w:rPr>
          <w:b/>
          <w:i w:val="0"/>
          <w:sz w:val="22"/>
        </w:rPr>
        <w:t>lo que está dentro de una caja no es contenido del curso.</w:t>
      </w:r>
      <w:r>
        <w:rPr>
          <w:b w:val="0"/>
          <w:i w:val="0"/>
          <w:sz w:val="22"/>
        </w:rPr>
        <w:t xml:space="preserve"> El contenido va suelto en la página y sale literal, con sus negrillas. Las cajas le dicen a producción qué hacer con el texto que tienen al lado.</w:t>
      </w:r>
    </w:p>
    <w:tbl>
      <w:tblPr>
        <w:tblW w:type="auto" w:w="0"/>
        <w:jc w:val="left"/>
        <w:tblLook w:firstColumn="1" w:firstRow="1" w:lastColumn="0" w:lastRow="0" w:noHBand="0" w:noVBand="1" w:val="04A0"/>
      </w:tblPr>
      <w:tblGrid>
        <w:gridCol w:w="9518"/>
      </w:tblGrid>
      <w:tr>
        <w:tc>
          <w:tcPr>
            <w:tcW w:type="dxa" w:w="9518"/>
            <w:shd w:fill="EFECF7"/>
            <w:tcBorders>
              <w:left w:val="single" w:sz="30" w:color="503B96"/>
              <w:top w:val="single" w:sz="6" w:color="EFECF7"/>
              <w:bottom w:val="single" w:sz="6" w:color="EFECF7"/>
              <w:right w:val="single" w:sz="6" w:color="EFECF7"/>
            </w:tcBorders>
            <w:tcMar>
              <w:top w:w="100" w:type="dxa"/>
              <w:bottom w:w="100" w:type="dxa"/>
              <w:left w:w="160" w:type="dxa"/>
              <w:right w:w="160" w:type="dxa"/>
            </w:tcMar>
          </w:tcPr>
          <w:p>
            <w:pPr>
              <w:spacing w:after="80"/>
            </w:pPr>
            <w:r/>
            <w:r>
              <w:rPr>
                <w:b/>
                <w:color w:val="503B96"/>
                <w:sz w:val="16"/>
                <w:spacing w:val="30"/>
              </w:rPr>
              <w:t>COMPONENTE</w:t>
            </w:r>
          </w:p>
          <w:p>
            <w:pPr>
              <w:spacing w:after="40"/>
            </w:pPr>
            <w:r>
              <w:rPr>
                <w:b/>
                <w:i w:val="0"/>
                <w:sz w:val="21"/>
              </w:rPr>
              <w:t>Acordeón: Las tres preguntas del criterio</w:t>
            </w:r>
          </w:p>
          <w:p>
            <w:pPr>
              <w:spacing w:after="40"/>
            </w:pPr>
            <w:r>
              <w:rPr>
                <w:b/>
                <w:i w:val="0"/>
                <w:sz w:val="21"/>
              </w:rPr>
              <w:t xml:space="preserve">Ítem: </w:t>
            </w:r>
            <w:r>
              <w:rPr>
                <w:b w:val="0"/>
                <w:i w:val="0"/>
                <w:sz w:val="21"/>
              </w:rPr>
              <w:t>¿Qué vamos a decidir? — El criterio nombra la decisión, no el tema.</w:t>
            </w:r>
          </w:p>
          <w:p>
            <w:pPr>
              <w:spacing w:after="40"/>
            </w:pPr>
            <w:r>
              <w:rPr>
                <w:b/>
                <w:i w:val="0"/>
                <w:sz w:val="21"/>
              </w:rPr>
              <w:t xml:space="preserve">Ítem: </w:t>
            </w:r>
            <w:r>
              <w:rPr>
                <w:b w:val="0"/>
                <w:i w:val="0"/>
                <w:sz w:val="21"/>
              </w:rPr>
              <w:t>¿Con qué dato se responde? — Si no hay dato, el criterio no está formulado.</w:t>
            </w:r>
          </w:p>
          <w:p>
            <w:pPr>
              <w:spacing w:before="80" w:after="0"/>
            </w:pPr>
            <w:r>
              <w:rPr>
                <w:i/>
                <w:color w:val="6E738C"/>
                <w:sz w:val="18"/>
              </w:rPr>
              <w:t>Violeta: el componente que arma la maquetación. El rótulo no se ve en el curso; se ve el título.</w:t>
            </w:r>
          </w:p>
        </w:tc>
      </w:tr>
    </w:tbl>
    <w:p>
      <w:pPr>
        <w:spacing w:after="80"/>
      </w:pPr>
    </w:p>
    <w:tbl>
      <w:tblPr>
        <w:tblW w:type="auto" w:w="0"/>
        <w:jc w:val="left"/>
        <w:tblLook w:firstColumn="1" w:firstRow="1" w:lastColumn="0" w:lastRow="0" w:noHBand="0" w:noVBand="1" w:val="04A0"/>
      </w:tblPr>
      <w:tblGrid>
        <w:gridCol w:w="9518"/>
      </w:tblGrid>
      <w:tr>
        <w:tc>
          <w:tcPr>
            <w:tcW w:type="dxa" w:w="9518"/>
            <w:shd w:fill="FDF4DE"/>
            <w:tcBorders>
              <w:left w:val="single" w:sz="30" w:color="C08A00"/>
              <w:top w:val="single" w:sz="6" w:color="FDF4DE"/>
              <w:bottom w:val="single" w:sz="6" w:color="FDF4DE"/>
              <w:right w:val="single" w:sz="6" w:color="FDF4DE"/>
            </w:tcBorders>
            <w:tcMar>
              <w:top w:w="100" w:type="dxa"/>
              <w:bottom w:w="100" w:type="dxa"/>
              <w:left w:w="160" w:type="dxa"/>
              <w:right w:w="160" w:type="dxa"/>
            </w:tcMar>
          </w:tcPr>
          <w:p>
            <w:pPr>
              <w:spacing w:after="80"/>
            </w:pPr>
            <w:r/>
            <w:r>
              <w:rPr>
                <w:b/>
                <w:color w:val="8A6100"/>
                <w:sz w:val="16"/>
                <w:spacing w:val="30"/>
              </w:rPr>
              <w:t>PARA DISEÑO GRÁFICO · NO ES CONTENIDO</w:t>
            </w:r>
          </w:p>
          <w:p>
            <w:pPr>
              <w:spacing w:after="40"/>
            </w:pPr>
            <w:r>
              <w:rPr>
                <w:b/>
                <w:i w:val="0"/>
                <w:sz w:val="21"/>
              </w:rPr>
              <w:t>Figura [N]</w:t>
            </w:r>
          </w:p>
          <w:p>
            <w:pPr>
              <w:spacing w:after="40"/>
            </w:pPr>
            <w:r>
              <w:rPr>
                <w:b/>
                <w:i w:val="0"/>
                <w:sz w:val="21"/>
              </w:rPr>
              <w:t xml:space="preserve">Leyenda: </w:t>
            </w:r>
            <w:r>
              <w:rPr>
                <w:b w:val="0"/>
                <w:i w:val="0"/>
                <w:color w:val="6E738C"/>
                <w:sz w:val="21"/>
              </w:rPr>
              <w:t>[pie que se verá bajo la figura]</w:t>
            </w:r>
          </w:p>
          <w:p>
            <w:pPr>
              <w:spacing w:after="40"/>
            </w:pPr>
            <w:r>
              <w:rPr>
                <w:b w:val="0"/>
                <w:i w:val="0"/>
                <w:color w:val="6E738C"/>
                <w:sz w:val="21"/>
              </w:rPr>
              <w:t>[Qué debe dibujar el diseñador: elementos, orden y los textos que van dentro.]</w:t>
            </w:r>
          </w:p>
          <w:p>
            <w:pPr>
              <w:spacing w:before="80" w:after="0"/>
            </w:pPr>
            <w:r>
              <w:rPr>
                <w:i/>
                <w:color w:val="6E738C"/>
                <w:sz w:val="18"/>
              </w:rPr>
              <w:t>Ámbar: va al diseñador gráfico. La caja se escribe en el punto exacto donde debe verse la figura: ahí la ubica producción.</w:t>
            </w:r>
          </w:p>
        </w:tc>
      </w:tr>
    </w:tbl>
    <w:p>
      <w:pPr>
        <w:spacing w:after="80"/>
      </w:pPr>
    </w:p>
    <w:tbl>
      <w:tblPr>
        <w:tblW w:type="auto" w:w="0"/>
        <w:jc w:val="left"/>
        <w:tblLook w:firstColumn="1" w:firstRow="1" w:lastColumn="0" w:lastRow="0" w:noHBand="0" w:noVBand="1" w:val="04A0"/>
      </w:tblPr>
      <w:tblGrid>
        <w:gridCol w:w="9518"/>
      </w:tblGrid>
      <w:tr>
        <w:tc>
          <w:tcPr>
            <w:tcW w:type="dxa" w:w="9518"/>
            <w:shd w:fill="F3F3F5"/>
            <w:tcBorders>
              <w:left w:val="single" w:sz="30" w:color="9A9EB0"/>
              <w:top w:val="single" w:sz="6" w:color="F3F3F5"/>
              <w:bottom w:val="single" w:sz="6" w:color="F3F3F5"/>
              <w:right w:val="single" w:sz="6" w:color="F3F3F5"/>
            </w:tcBorders>
            <w:tcMar>
              <w:top w:w="100" w:type="dxa"/>
              <w:bottom w:w="100" w:type="dxa"/>
              <w:left w:w="160" w:type="dxa"/>
              <w:right w:w="160" w:type="dxa"/>
            </w:tcMar>
          </w:tcPr>
          <w:p>
            <w:pPr>
              <w:spacing w:after="80"/>
            </w:pPr>
            <w:r/>
            <w:r>
              <w:rPr>
                <w:b/>
                <w:color w:val="5C6280"/>
                <w:sz w:val="16"/>
                <w:spacing w:val="30"/>
              </w:rPr>
              <w:t>NOTA PARA PRODUCCIÓN · NO SALE EN EL CURSO</w:t>
            </w:r>
          </w:p>
          <w:p>
            <w:pPr>
              <w:spacing w:after="40"/>
            </w:pPr>
            <w:r>
              <w:rPr>
                <w:b w:val="0"/>
                <w:i w:val="0"/>
                <w:sz w:val="21"/>
              </w:rPr>
              <w:t>Aquí va una sugerencia para producción: un componente que parece adecuado, una duda, una advertencia.</w:t>
            </w:r>
          </w:p>
        </w:tc>
      </w:tr>
    </w:tbl>
    <w:p>
      <w:pPr>
        <w:spacing w:after="80"/>
      </w:pPr>
    </w:p>
    <w:p>
      <w:pPr>
        <w:spacing w:after="200"/>
      </w:pPr>
      <w:r>
        <w:rPr>
          <w:i/>
          <w:color w:val="6E738C"/>
          <w:sz w:val="19"/>
        </w:rPr>
        <w:t>Gris: no sale en el curso. Producción puede no aplicarla, y lo dice.</w:t>
      </w:r>
    </w:p>
    <w:p>
      <w:r>
        <w:br w:type="page"/>
      </w:r>
    </w:p>
    <w:p>
      <w:pPr>
        <w:pStyle w:val="Heading1"/>
      </w:pPr>
      <w:r>
        <w:t>Ficha de la unidad</w:t>
      </w:r>
    </w:p>
    <w:tbl>
      <w:tblPr>
        <w:tblStyle w:val="TableGrid"/>
        <w:tblW w:type="auto" w:w="0"/>
        <w:jc w:val="left"/>
        <w:tblLook w:firstColumn="1" w:firstRow="1" w:lastColumn="0" w:lastRow="0" w:noHBand="0" w:noVBand="1" w:val="04A0"/>
      </w:tblPr>
      <w:tblGrid>
        <w:gridCol w:w="4759"/>
        <w:gridCol w:w="4759"/>
      </w:tblGrid>
      <w:tr>
        <w:tc>
          <w:tcPr>
            <w:tcW w:type="dxa" w:w="2494"/>
            <w:shd w:fill="EFECF7"/>
          </w:tcPr>
          <w:p>
            <w:r/>
            <w:r>
              <w:rPr>
                <w:b/>
                <w:color w:val="503B96"/>
                <w:sz w:val="16"/>
                <w:spacing w:val="30"/>
              </w:rPr>
              <w:t>CAMPO</w:t>
            </w:r>
          </w:p>
        </w:tc>
        <w:tc>
          <w:tcPr>
            <w:tcW w:type="dxa" w:w="6803"/>
            <w:shd w:fill="EFECF7"/>
          </w:tcPr>
          <w:p>
            <w:r/>
            <w:r>
              <w:rPr>
                <w:b/>
                <w:color w:val="503B96"/>
                <w:sz w:val="16"/>
                <w:spacing w:val="30"/>
              </w:rPr>
              <w:t>CONTENIDO</w:t>
            </w:r>
          </w:p>
        </w:tc>
      </w:tr>
      <w:tr>
        <w:tc>
          <w:tcPr>
            <w:tcW w:type="dxa" w:w="2494"/>
          </w:tcPr>
          <w:p>
            <w:r/>
            <w:r>
              <w:rPr>
                <w:b w:val="0"/>
                <w:i w:val="0"/>
                <w:sz w:val="20"/>
              </w:rPr>
              <w:t>Curso</w:t>
            </w:r>
          </w:p>
        </w:tc>
        <w:tc>
          <w:tcPr>
            <w:tcW w:type="dxa" w:w="6803"/>
          </w:tcPr>
          <w:p>
            <w:r/>
            <w:r>
              <w:rPr>
                <w:b w:val="0"/>
                <w:i w:val="0"/>
                <w:sz w:val="20"/>
              </w:rPr>
              <w:t>Toma de decisiones con datos + IA</w:t>
            </w:r>
          </w:p>
        </w:tc>
      </w:tr>
      <w:tr>
        <w:tc>
          <w:tcPr>
            <w:tcW w:type="dxa" w:w="2494"/>
          </w:tcPr>
          <w:p>
            <w:r/>
            <w:r>
              <w:rPr>
                <w:b w:val="0"/>
                <w:i w:val="0"/>
                <w:sz w:val="20"/>
              </w:rPr>
              <w:t>Unidad</w:t>
            </w:r>
          </w:p>
        </w:tc>
        <w:tc>
          <w:tcPr>
            <w:tcW w:type="dxa" w:w="6803"/>
          </w:tcPr>
          <w:p>
            <w:r/>
            <w:r>
              <w:rPr>
                <w:b w:val="0"/>
                <w:i w:val="0"/>
                <w:sz w:val="20"/>
              </w:rPr>
              <w:t>2 · De la respuesta a la recomendación: audita antes de confiar</w:t>
            </w:r>
          </w:p>
        </w:tc>
      </w:tr>
      <w:tr>
        <w:tc>
          <w:tcPr>
            <w:tcW w:type="dxa" w:w="2494"/>
          </w:tcPr>
          <w:p>
            <w:r/>
            <w:r>
              <w:rPr>
                <w:b w:val="0"/>
                <w:i w:val="0"/>
                <w:sz w:val="20"/>
              </w:rPr>
              <w:t>Objetivo</w:t>
            </w:r>
          </w:p>
        </w:tc>
        <w:tc>
          <w:tcPr>
            <w:tcW w:type="dxa" w:w="6803"/>
          </w:tcPr>
          <w:p>
            <w:r/>
            <w:r>
              <w:rPr>
                <w:b w:val="0"/>
                <w:i w:val="0"/>
                <w:sz w:val="20"/>
              </w:rPr>
              <w:t>Juzgar la confiabilidad de un resultado obtenido con IA y comunicar una decisión de la que alguien deberá responder, auditando de forma proporcional al riesgo y declarando la incertidumbre en la recomendación.</w:t>
            </w:r>
          </w:p>
        </w:tc>
      </w:tr>
      <w:tr>
        <w:tc>
          <w:tcPr>
            <w:tcW w:type="dxa" w:w="2494"/>
          </w:tcPr>
          <w:p>
            <w:r/>
            <w:r>
              <w:rPr>
                <w:b w:val="0"/>
                <w:i w:val="0"/>
                <w:sz w:val="20"/>
              </w:rPr>
              <w:t>Público objetivo</w:t>
            </w:r>
          </w:p>
        </w:tc>
        <w:tc>
          <w:tcPr>
            <w:tcW w:type="dxa" w:w="6803"/>
          </w:tcPr>
          <w:p>
            <w:r/>
            <w:r>
              <w:rPr>
                <w:b w:val="0"/>
                <w:i w:val="0"/>
                <w:sz w:val="20"/>
              </w:rPr>
              <w:t>El mismo público de la Unidad 1: profesionales de cualquier disciplina que deban tomar decisiones apoyadas en datos y en herramientas de IA generativa, sin que se requiera formación técnica previa en análisis de datos.</w:t>
            </w:r>
          </w:p>
        </w:tc>
      </w:tr>
      <w:tr>
        <w:tc>
          <w:tcPr>
            <w:tcW w:type="dxa" w:w="2494"/>
          </w:tcPr>
          <w:p>
            <w:r/>
            <w:r>
              <w:rPr>
                <w:b w:val="0"/>
                <w:i w:val="0"/>
                <w:sz w:val="20"/>
              </w:rPr>
              <w:t>Qué vas a aprender</w:t>
            </w:r>
          </w:p>
        </w:tc>
        <w:tc>
          <w:tcPr>
            <w:tcW w:type="dxa" w:w="6803"/>
          </w:tcPr>
          <w:p>
            <w:r/>
            <w:r>
              <w:rPr>
                <w:b w:val="0"/>
                <w:i w:val="0"/>
                <w:sz w:val="20"/>
              </w:rPr>
              <w:t>Auditar críticamente los resultados que entrega una IA, reconociendo la alucinación y el sesgo de automatización, y aplicando la técnica de las tres fuentes de forma proporcional al riesgo de la decisión.</w:t>
            </w:r>
          </w:p>
          <w:p>
            <w:pPr>
              <w:spacing w:before="80"/>
            </w:pPr>
            <w:r>
              <w:rPr>
                <w:b w:val="0"/>
                <w:i w:val="0"/>
                <w:sz w:val="20"/>
              </w:rPr>
              <w:t>Construir y comunicar una recomendación en el lenguaje de quien decide, con el criterio explícito, la incertidumbre declarada y un siguiente paso concreto.</w:t>
            </w:r>
          </w:p>
        </w:tc>
      </w:tr>
    </w:tbl>
    <w:p>
      <w:pPr>
        <w:spacing w:after="80"/>
      </w:pPr>
    </w:p>
    <w:p>
      <w:pPr>
        <w:pStyle w:val="Heading1"/>
      </w:pPr>
      <w:r>
        <w:t>Portada</w:t>
      </w:r>
    </w:p>
    <w:tbl>
      <w:tblPr>
        <w:tblW w:type="auto" w:w="0"/>
        <w:jc w:val="left"/>
        <w:tblLook w:firstColumn="1" w:firstRow="1" w:lastColumn="0" w:lastRow="0" w:noHBand="0" w:noVBand="1" w:val="04A0"/>
      </w:tblPr>
      <w:tblGrid>
        <w:gridCol w:w="9518"/>
      </w:tblGrid>
      <w:tr>
        <w:tc>
          <w:tcPr>
            <w:tcW w:type="dxa" w:w="9518"/>
            <w:shd w:fill="EFECF7"/>
            <w:tcBorders>
              <w:left w:val="single" w:sz="30" w:color="503B96"/>
              <w:top w:val="single" w:sz="6" w:color="EFECF7"/>
              <w:bottom w:val="single" w:sz="6" w:color="EFECF7"/>
              <w:right w:val="single" w:sz="6" w:color="EFECF7"/>
            </w:tcBorders>
            <w:tcMar>
              <w:top w:w="100" w:type="dxa"/>
              <w:bottom w:w="100" w:type="dxa"/>
              <w:left w:w="160" w:type="dxa"/>
              <w:right w:w="160" w:type="dxa"/>
            </w:tcMar>
          </w:tcPr>
          <w:p>
            <w:pPr>
              <w:spacing w:after="80"/>
            </w:pPr>
            <w:r/>
            <w:r>
              <w:rPr>
                <w:b/>
                <w:color w:val="503B96"/>
                <w:sz w:val="16"/>
                <w:spacing w:val="30"/>
              </w:rPr>
              <w:t>COMPONENTE</w:t>
            </w:r>
          </w:p>
          <w:p>
            <w:pPr>
              <w:spacing w:after="40"/>
            </w:pPr>
            <w:r>
              <w:rPr>
                <w:b/>
                <w:i w:val="0"/>
                <w:sz w:val="21"/>
              </w:rPr>
              <w:t>Portada</w:t>
            </w:r>
          </w:p>
          <w:p>
            <w:pPr>
              <w:spacing w:after="40"/>
            </w:pPr>
            <w:r>
              <w:rPr>
                <w:b/>
                <w:i w:val="0"/>
                <w:sz w:val="21"/>
              </w:rPr>
              <w:t xml:space="preserve">Unidad: </w:t>
            </w:r>
            <w:r>
              <w:rPr>
                <w:b w:val="0"/>
                <w:i w:val="0"/>
                <w:sz w:val="21"/>
              </w:rPr>
              <w:t>2</w:t>
            </w:r>
          </w:p>
          <w:p>
            <w:pPr>
              <w:spacing w:after="40"/>
            </w:pPr>
            <w:r>
              <w:rPr>
                <w:b/>
                <w:i w:val="0"/>
                <w:sz w:val="21"/>
              </w:rPr>
              <w:t xml:space="preserve">Título: </w:t>
            </w:r>
            <w:r>
              <w:rPr>
                <w:b w:val="0"/>
                <w:i w:val="0"/>
                <w:sz w:val="21"/>
              </w:rPr>
              <w:t>De la respuesta a la recomendación</w:t>
            </w:r>
          </w:p>
          <w:p>
            <w:pPr>
              <w:spacing w:after="40"/>
            </w:pPr>
            <w:r>
              <w:rPr>
                <w:b/>
                <w:i w:val="0"/>
                <w:sz w:val="21"/>
              </w:rPr>
              <w:t xml:space="preserve">Subtítulo: </w:t>
            </w:r>
            <w:r>
              <w:rPr>
                <w:b w:val="0"/>
                <w:i w:val="0"/>
                <w:sz w:val="21"/>
              </w:rPr>
              <w:t>Audita antes de confiar · Toma de decisiones con datos + IA</w:t>
            </w:r>
          </w:p>
          <w:p>
            <w:pPr>
              <w:spacing w:after="40"/>
            </w:pPr>
            <w:r>
              <w:rPr>
                <w:b/>
                <w:i w:val="0"/>
                <w:sz w:val="21"/>
              </w:rPr>
              <w:t xml:space="preserve">Frase destacada: </w:t>
            </w:r>
            <w:r>
              <w:rPr>
                <w:b w:val="0"/>
                <w:i w:val="0"/>
                <w:sz w:val="21"/>
              </w:rPr>
              <w:t>Auditar no es desconfiar de todo lo que la IA produce; es verificar antes de actuar.</w:t>
            </w:r>
          </w:p>
        </w:tc>
      </w:tr>
    </w:tbl>
    <w:p>
      <w:pPr>
        <w:spacing w:after="80"/>
      </w:pPr>
    </w:p>
    <w:tbl>
      <w:tblPr>
        <w:tblW w:type="auto" w:w="0"/>
        <w:jc w:val="left"/>
        <w:tblLook w:firstColumn="1" w:firstRow="1" w:lastColumn="0" w:lastRow="0" w:noHBand="0" w:noVBand="1" w:val="04A0"/>
      </w:tblPr>
      <w:tblGrid>
        <w:gridCol w:w="9518"/>
      </w:tblGrid>
      <w:tr>
        <w:tc>
          <w:tcPr>
            <w:tcW w:type="dxa" w:w="9518"/>
            <w:shd w:fill="FDF4DE"/>
            <w:tcBorders>
              <w:left w:val="single" w:sz="30" w:color="C08A00"/>
              <w:top w:val="single" w:sz="6" w:color="FDF4DE"/>
              <w:bottom w:val="single" w:sz="6" w:color="FDF4DE"/>
              <w:right w:val="single" w:sz="6" w:color="FDF4DE"/>
            </w:tcBorders>
            <w:tcMar>
              <w:top w:w="100" w:type="dxa"/>
              <w:bottom w:w="100" w:type="dxa"/>
              <w:left w:w="160" w:type="dxa"/>
              <w:right w:w="160" w:type="dxa"/>
            </w:tcMar>
          </w:tcPr>
          <w:p>
            <w:pPr>
              <w:spacing w:after="80"/>
            </w:pPr>
            <w:r/>
            <w:r>
              <w:rPr>
                <w:b/>
                <w:color w:val="8A6100"/>
                <w:sz w:val="16"/>
                <w:spacing w:val="30"/>
              </w:rPr>
              <w:t>PARA DISEÑO GRÁFICO · NO ES CONTENIDO</w:t>
            </w:r>
          </w:p>
          <w:p>
            <w:pPr>
              <w:spacing w:after="40"/>
            </w:pPr>
            <w:r>
              <w:rPr>
                <w:b/>
                <w:i w:val="0"/>
                <w:sz w:val="21"/>
              </w:rPr>
              <w:t>Figura de portada</w:t>
            </w:r>
          </w:p>
          <w:p>
            <w:pPr>
              <w:spacing w:after="40"/>
            </w:pPr>
            <w:r>
              <w:rPr>
                <w:b/>
                <w:i w:val="0"/>
                <w:sz w:val="21"/>
              </w:rPr>
              <w:t xml:space="preserve">Leyenda: </w:t>
            </w:r>
            <w:r>
              <w:rPr>
                <w:b w:val="0"/>
                <w:i w:val="0"/>
                <w:color w:val="6E738C"/>
                <w:sz w:val="21"/>
              </w:rPr>
              <w:t>[sin leyenda]</w:t>
            </w:r>
          </w:p>
          <w:p>
            <w:pPr>
              <w:spacing w:after="40"/>
            </w:pPr>
            <w:r>
              <w:rPr>
                <w:b w:val="0"/>
                <w:i w:val="0"/>
                <w:sz w:val="21"/>
              </w:rPr>
              <w:t>Persona frente al computador, en una pausa de lectura: mira la pantalla con atención, sin gesto de duda ni de alarma. Clave alta, escena real de oficina.</w:t>
            </w:r>
          </w:p>
        </w:tc>
      </w:tr>
    </w:tbl>
    <w:p>
      <w:pPr>
        <w:spacing w:after="80"/>
      </w:pPr>
    </w:p>
    <w:p>
      <w:pPr>
        <w:pStyle w:val="Heading1"/>
      </w:pPr>
      <w:r>
        <w:t>Contenido de la unidad</w:t>
      </w:r>
    </w:p>
    <w:tbl>
      <w:tblPr>
        <w:tblW w:type="auto" w:w="0"/>
        <w:jc w:val="left"/>
        <w:tblLook w:firstColumn="1" w:firstRow="1" w:lastColumn="0" w:lastRow="0" w:noHBand="0" w:noVBand="1" w:val="04A0"/>
      </w:tblPr>
      <w:tblGrid>
        <w:gridCol w:w="9518"/>
      </w:tblGrid>
      <w:tr>
        <w:tc>
          <w:tcPr>
            <w:tcW w:type="dxa" w:w="9518"/>
            <w:shd w:fill="EFECF7"/>
            <w:tcBorders>
              <w:left w:val="single" w:sz="30" w:color="503B96"/>
              <w:top w:val="single" w:sz="6" w:color="EFECF7"/>
              <w:bottom w:val="single" w:sz="6" w:color="EFECF7"/>
              <w:right w:val="single" w:sz="6" w:color="EFECF7"/>
            </w:tcBorders>
            <w:tcMar>
              <w:top w:w="100" w:type="dxa"/>
              <w:bottom w:w="100" w:type="dxa"/>
              <w:left w:w="160" w:type="dxa"/>
              <w:right w:w="160" w:type="dxa"/>
            </w:tcMar>
          </w:tcPr>
          <w:p>
            <w:pPr>
              <w:spacing w:after="80"/>
            </w:pPr>
            <w:r/>
            <w:r>
              <w:rPr>
                <w:b/>
                <w:color w:val="503B96"/>
                <w:sz w:val="16"/>
                <w:spacing w:val="30"/>
              </w:rPr>
              <w:t>COMPONENTE</w:t>
            </w:r>
          </w:p>
          <w:p>
            <w:pPr>
              <w:spacing w:after="40"/>
            </w:pPr>
            <w:r>
              <w:rPr>
                <w:b/>
                <w:i w:val="0"/>
                <w:sz w:val="21"/>
              </w:rPr>
              <w:t>Contenido de la unidad</w:t>
            </w:r>
          </w:p>
          <w:p>
            <w:pPr>
              <w:spacing w:after="40"/>
            </w:pPr>
            <w:r>
              <w:rPr>
                <w:b/>
                <w:i w:val="0"/>
                <w:sz w:val="21"/>
              </w:rPr>
              <w:t xml:space="preserve">Resultado de aprendizaje: </w:t>
            </w:r>
            <w:r>
              <w:rPr>
                <w:b w:val="0"/>
                <w:i w:val="0"/>
                <w:sz w:val="21"/>
              </w:rPr>
              <w:t>Juzgar la confiabilidad de un resultado obtenido con IA y comunicar una decisión de la que alguien deberá responder, auditando de forma proporcional al riesgo y declarando la incertidumbre en la recomendación.</w:t>
            </w:r>
          </w:p>
          <w:p>
            <w:pPr>
              <w:spacing w:before="80" w:after="0"/>
            </w:pPr>
            <w:r>
              <w:rPr>
                <w:i/>
                <w:color w:val="6E738C"/>
                <w:sz w:val="18"/>
              </w:rPr>
              <w:t>Coincide con el objetivo de la ficha. El resto del índice se arma con los títulos de las secciones de este documento.</w:t>
            </w:r>
          </w:p>
        </w:tc>
      </w:tr>
    </w:tbl>
    <w:p>
      <w:pPr>
        <w:spacing w:after="80"/>
      </w:pPr>
    </w:p>
    <w:p>
      <w:pPr>
        <w:pStyle w:val="Heading1"/>
      </w:pPr>
      <w:r>
        <w:t>Introducción</w:t>
      </w:r>
    </w:p>
    <w:p>
      <w:r>
        <w:t>Obtener respuestas de una IA y explorar alternativas es apenas la mitad del trabajo de decidir. La otra mitad —la que desarrolla esta unidad— ocurre sobre un terreno más resbaladizo: comprobar si esas respuestas son confiables y lograr que la decisión resultante sea aceptada por quien tiene que aprobarla.</w:t>
      </w:r>
    </w:p>
    <w:p>
      <w:r>
        <w:t>El motivo es simple: explorar bien no garantiza decidir bien. Una alternativa que parece sólida puede apoyarse en una cifra que la IA inventó sin que nadie lo note, y la recomendación mejor razonada no cambia nada si la persona que debe aprobarla no la entiende o no confía en ella. Los dos temas de esta unidad atacan justo esos dos riesgos: primero aprenderás a auditar lo que la IA te devuelve; después, a comunicar tu recomendación de modo que alguien pueda usarla.</w:t>
      </w:r>
    </w:p>
    <w:tbl>
      <w:tblPr>
        <w:tblW w:type="auto" w:w="0"/>
        <w:jc w:val="left"/>
        <w:tblLook w:firstColumn="1" w:firstRow="1" w:lastColumn="0" w:lastRow="0" w:noHBand="0" w:noVBand="1" w:val="04A0"/>
      </w:tblPr>
      <w:tblGrid>
        <w:gridCol w:w="9518"/>
      </w:tblGrid>
      <w:tr>
        <w:tc>
          <w:tcPr>
            <w:tcW w:type="dxa" w:w="9518"/>
            <w:shd w:fill="EFECF7"/>
            <w:tcBorders>
              <w:left w:val="single" w:sz="30" w:color="503B96"/>
              <w:top w:val="single" w:sz="6" w:color="EFECF7"/>
              <w:bottom w:val="single" w:sz="6" w:color="EFECF7"/>
              <w:right w:val="single" w:sz="6" w:color="EFECF7"/>
            </w:tcBorders>
            <w:tcMar>
              <w:top w:w="100" w:type="dxa"/>
              <w:bottom w:w="100" w:type="dxa"/>
              <w:left w:w="160" w:type="dxa"/>
              <w:right w:w="160" w:type="dxa"/>
            </w:tcMar>
          </w:tcPr>
          <w:p>
            <w:pPr>
              <w:spacing w:after="80"/>
            </w:pPr>
            <w:r/>
            <w:r>
              <w:rPr>
                <w:b/>
                <w:color w:val="503B96"/>
                <w:sz w:val="16"/>
                <w:spacing w:val="30"/>
              </w:rPr>
              <w:t>COMPONENTE</w:t>
            </w:r>
          </w:p>
          <w:p>
            <w:pPr>
              <w:spacing w:after="40"/>
            </w:pPr>
            <w:r>
              <w:rPr>
                <w:b/>
                <w:i w:val="0"/>
                <w:sz w:val="21"/>
              </w:rPr>
              <w:t>Bloque destacado: Auditar no es desconfiar</w:t>
            </w:r>
          </w:p>
          <w:p>
            <w:pPr>
              <w:spacing w:after="40"/>
            </w:pPr>
            <w:r>
              <w:rPr>
                <w:b/>
                <w:i w:val="0"/>
                <w:sz w:val="21"/>
              </w:rPr>
              <w:t xml:space="preserve">Etiqueta: </w:t>
            </w:r>
            <w:r>
              <w:rPr>
                <w:b w:val="0"/>
                <w:i w:val="0"/>
                <w:sz w:val="21"/>
              </w:rPr>
              <w:t>Idea clave</w:t>
            </w:r>
          </w:p>
          <w:p>
            <w:pPr>
              <w:spacing w:after="40"/>
            </w:pPr>
            <w:r>
              <w:rPr>
                <w:b/>
                <w:i w:val="0"/>
                <w:sz w:val="21"/>
              </w:rPr>
              <w:t xml:space="preserve">Texto: </w:t>
            </w:r>
            <w:r>
              <w:rPr>
                <w:b w:val="0"/>
                <w:i w:val="0"/>
                <w:sz w:val="21"/>
              </w:rPr>
              <w:t>Auditar no es desconfiar de todo lo que la IA produce; es verificar antes de actuar. La desconfianza total paraliza; la auditoría sistemática protege.</w:t>
            </w:r>
          </w:p>
        </w:tc>
      </w:tr>
    </w:tbl>
    <w:p>
      <w:pPr>
        <w:spacing w:after="80"/>
      </w:pPr>
    </w:p>
    <w:p>
      <w:pPr>
        <w:pStyle w:val="Heading2"/>
      </w:pPr>
      <w:r>
        <w:t>El ciclo de la decisión: el hilo conductor</w:t>
      </w:r>
    </w:p>
    <w:p>
      <w:r>
        <w:t>Conviene tener a la vista el mapa completo. Toda decisión apoyada en datos e IA puede ordenarse en un ciclo de cuatro pasos que guía el pensamiento cuando la información no ofrece una respuesta obvia. No es una fórmula rígida, sino una forma de proceder.</w:t>
      </w:r>
    </w:p>
    <w:tbl>
      <w:tblPr>
        <w:tblW w:type="auto" w:w="0"/>
        <w:jc w:val="left"/>
        <w:tblLook w:firstColumn="1" w:firstRow="1" w:lastColumn="0" w:lastRow="0" w:noHBand="0" w:noVBand="1" w:val="04A0"/>
      </w:tblPr>
      <w:tblGrid>
        <w:gridCol w:w="9518"/>
      </w:tblGrid>
      <w:tr>
        <w:tc>
          <w:tcPr>
            <w:tcW w:type="dxa" w:w="9518"/>
            <w:shd w:fill="EFECF7"/>
            <w:tcBorders>
              <w:left w:val="single" w:sz="30" w:color="503B96"/>
              <w:top w:val="single" w:sz="6" w:color="EFECF7"/>
              <w:bottom w:val="single" w:sz="6" w:color="EFECF7"/>
              <w:right w:val="single" w:sz="6" w:color="EFECF7"/>
            </w:tcBorders>
            <w:tcMar>
              <w:top w:w="100" w:type="dxa"/>
              <w:bottom w:w="100" w:type="dxa"/>
              <w:left w:w="160" w:type="dxa"/>
              <w:right w:w="160" w:type="dxa"/>
            </w:tcMar>
          </w:tcPr>
          <w:p>
            <w:pPr>
              <w:spacing w:after="80"/>
            </w:pPr>
            <w:r/>
            <w:r>
              <w:rPr>
                <w:b/>
                <w:color w:val="503B96"/>
                <w:sz w:val="16"/>
                <w:spacing w:val="30"/>
              </w:rPr>
              <w:t>COMPONENTE</w:t>
            </w:r>
          </w:p>
          <w:p>
            <w:pPr>
              <w:spacing w:after="40"/>
            </w:pPr>
            <w:r>
              <w:rPr>
                <w:b/>
                <w:i w:val="0"/>
                <w:sz w:val="21"/>
              </w:rPr>
              <w:t>Ciclo: Los cuatro pasos de la decisión</w:t>
            </w:r>
          </w:p>
          <w:p>
            <w:pPr>
              <w:spacing w:after="40"/>
            </w:pPr>
            <w:r>
              <w:rPr>
                <w:b/>
                <w:i w:val="0"/>
                <w:sz w:val="21"/>
              </w:rPr>
              <w:t xml:space="preserve">Paso: </w:t>
            </w:r>
            <w:r>
              <w:rPr>
                <w:b w:val="0"/>
                <w:i w:val="0"/>
                <w:sz w:val="21"/>
              </w:rPr>
              <w:t>Formular el criterio — Decidir qué significaría «una buena decisión» antes de mirar los datos.</w:t>
            </w:r>
          </w:p>
          <w:p>
            <w:pPr>
              <w:spacing w:after="40"/>
            </w:pPr>
            <w:r>
              <w:rPr>
                <w:b/>
                <w:i w:val="0"/>
                <w:sz w:val="21"/>
              </w:rPr>
              <w:t xml:space="preserve">Paso: </w:t>
            </w:r>
            <w:r>
              <w:rPr>
                <w:b w:val="0"/>
                <w:i w:val="0"/>
                <w:sz w:val="21"/>
              </w:rPr>
              <w:t>Explorar con IA — Usar la IA para generar y comparar alternativas, no para que decida por uno.</w:t>
            </w:r>
          </w:p>
          <w:p>
            <w:pPr>
              <w:spacing w:after="40"/>
            </w:pPr>
            <w:r>
              <w:rPr>
                <w:b/>
                <w:i w:val="0"/>
                <w:sz w:val="21"/>
              </w:rPr>
              <w:t xml:space="preserve">Paso: </w:t>
            </w:r>
            <w:r>
              <w:rPr>
                <w:b w:val="0"/>
                <w:i w:val="0"/>
                <w:sz w:val="21"/>
              </w:rPr>
              <w:t>Auditar el resultado — Contrastar lo que arrojó la IA contra al menos una fuente o supuesto verificable.</w:t>
            </w:r>
          </w:p>
          <w:p>
            <w:pPr>
              <w:spacing w:after="40"/>
            </w:pPr>
            <w:r>
              <w:rPr>
                <w:b/>
                <w:i w:val="0"/>
                <w:sz w:val="21"/>
              </w:rPr>
              <w:t xml:space="preserve">Paso: </w:t>
            </w:r>
            <w:r>
              <w:rPr>
                <w:b w:val="0"/>
                <w:i w:val="0"/>
                <w:sz w:val="21"/>
              </w:rPr>
              <w:t>Justificar y comunicar — Presentar la recomendación de forma que alguien que decide pueda confiar en ella.</w:t>
            </w:r>
          </w:p>
        </w:tc>
      </w:tr>
    </w:tbl>
    <w:p>
      <w:pPr>
        <w:spacing w:after="80"/>
      </w:pPr>
    </w:p>
    <w:tbl>
      <w:tblPr>
        <w:tblW w:type="auto" w:w="0"/>
        <w:jc w:val="left"/>
        <w:tblLook w:firstColumn="1" w:firstRow="1" w:lastColumn="0" w:lastRow="0" w:noHBand="0" w:noVBand="1" w:val="04A0"/>
      </w:tblPr>
      <w:tblGrid>
        <w:gridCol w:w="9518"/>
      </w:tblGrid>
      <w:tr>
        <w:tc>
          <w:tcPr>
            <w:tcW w:type="dxa" w:w="9518"/>
            <w:shd w:fill="F3F3F5"/>
            <w:tcBorders>
              <w:left w:val="single" w:sz="30" w:color="9A9EB0"/>
              <w:top w:val="single" w:sz="6" w:color="F3F3F5"/>
              <w:bottom w:val="single" w:sz="6" w:color="F3F3F5"/>
              <w:right w:val="single" w:sz="6" w:color="F3F3F5"/>
            </w:tcBorders>
            <w:tcMar>
              <w:top w:w="100" w:type="dxa"/>
              <w:bottom w:w="100" w:type="dxa"/>
              <w:left w:w="160" w:type="dxa"/>
              <w:right w:w="160" w:type="dxa"/>
            </w:tcMar>
          </w:tcPr>
          <w:p>
            <w:pPr>
              <w:spacing w:after="80"/>
            </w:pPr>
            <w:r/>
            <w:r>
              <w:rPr>
                <w:b/>
                <w:color w:val="5C6280"/>
                <w:sz w:val="16"/>
                <w:spacing w:val="30"/>
              </w:rPr>
              <w:t>NOTA PARA PRODUCCIÓN · NO SALE EN EL CURSO</w:t>
            </w:r>
          </w:p>
          <w:p>
            <w:pPr>
              <w:spacing w:after="40"/>
            </w:pPr>
            <w:r>
              <w:rPr>
                <w:b w:val="0"/>
                <w:i w:val="0"/>
                <w:sz w:val="21"/>
              </w:rPr>
              <w:t>Los pasos 3 y 4 son los de esta unidad. Si la pieza puede resaltarlos, mejor.</w:t>
            </w:r>
          </w:p>
        </w:tc>
      </w:tr>
    </w:tbl>
    <w:p>
      <w:pPr>
        <w:spacing w:after="80"/>
      </w:pPr>
    </w:p>
    <w:p>
      <w:pPr>
        <w:pStyle w:val="Heading2"/>
      </w:pPr>
      <w:r>
        <w:t>Los pasos 3 y 4 en acción</w:t>
      </w:r>
    </w:p>
    <w:p>
      <w:r>
        <w:t>Esta unidad desarrolla los pasos 3 y 4: auditar el resultado y comunicar la recomendación. Para verlos en acción, tomamos un caso. Un equipo de mercadeo debe decidir si renueva o cancela una campaña digital de seis semanas cuyo desempeño parece mixto. Ya le pidió a una IA que analizara los datos, y esta señaló que dos de las seis semanas coincidieron con un feriado. El equipo debe decidir si confiar en esa explicación.</w:t>
      </w:r>
    </w:p>
    <w:tbl>
      <w:tblPr>
        <w:tblW w:type="auto" w:w="0"/>
        <w:jc w:val="left"/>
        <w:tblLook w:firstColumn="1" w:firstRow="1" w:lastColumn="0" w:lastRow="0" w:noHBand="0" w:noVBand="1" w:val="04A0"/>
      </w:tblPr>
      <w:tblGrid>
        <w:gridCol w:w="9518"/>
      </w:tblGrid>
      <w:tr>
        <w:tc>
          <w:tcPr>
            <w:tcW w:type="dxa" w:w="9518"/>
            <w:shd w:fill="EFECF7"/>
            <w:tcBorders>
              <w:left w:val="single" w:sz="30" w:color="503B96"/>
              <w:top w:val="single" w:sz="6" w:color="EFECF7"/>
              <w:bottom w:val="single" w:sz="6" w:color="EFECF7"/>
              <w:right w:val="single" w:sz="6" w:color="EFECF7"/>
            </w:tcBorders>
            <w:tcMar>
              <w:top w:w="100" w:type="dxa"/>
              <w:bottom w:w="100" w:type="dxa"/>
              <w:left w:w="160" w:type="dxa"/>
              <w:right w:w="160" w:type="dxa"/>
            </w:tcMar>
          </w:tcPr>
          <w:p>
            <w:pPr>
              <w:spacing w:after="80"/>
            </w:pPr>
            <w:r/>
            <w:r>
              <w:rPr>
                <w:b/>
                <w:color w:val="503B96"/>
                <w:sz w:val="16"/>
                <w:spacing w:val="30"/>
              </w:rPr>
              <w:t>COMPONENTE</w:t>
            </w:r>
          </w:p>
          <w:p>
            <w:pPr>
              <w:spacing w:after="40"/>
            </w:pPr>
            <w:r>
              <w:rPr>
                <w:b/>
                <w:i w:val="0"/>
                <w:sz w:val="21"/>
              </w:rPr>
              <w:t>Acordeón: El caso, paso por paso</w:t>
            </w:r>
          </w:p>
          <w:p>
            <w:pPr>
              <w:spacing w:after="40"/>
            </w:pPr>
            <w:r>
              <w:rPr>
                <w:b/>
                <w:i w:val="0"/>
                <w:sz w:val="21"/>
              </w:rPr>
              <w:t xml:space="preserve">Ítem: </w:t>
            </w:r>
            <w:r>
              <w:rPr>
                <w:b w:val="0"/>
                <w:i w:val="0"/>
                <w:sz w:val="21"/>
              </w:rPr>
              <w:t>Paso 3 · Auditar el resultado — El equipo no la acepta de inmediato. Aplica la técnica de las tres fuentes: revisa el calendario interno de campañas anteriores y confirma que, en efecto, campañas pasadas cayeron de forma parecida en semanas de feriado. La afirmación de la IA queda verificada, no solo aceptada.</w:t>
            </w:r>
          </w:p>
          <w:p>
            <w:pPr>
              <w:spacing w:after="40"/>
            </w:pPr>
            <w:r>
              <w:rPr>
                <w:b/>
                <w:i w:val="0"/>
                <w:sz w:val="21"/>
              </w:rPr>
              <w:t xml:space="preserve">Ítem: </w:t>
            </w:r>
            <w:r>
              <w:rPr>
                <w:b w:val="0"/>
                <w:i w:val="0"/>
                <w:sz w:val="21"/>
              </w:rPr>
              <w:t>Paso 4 · Comunicar la recomendación — Con eso, el equipo la presenta a su gerente en una sola idea clara: el costo por cliente está por encima del promedio, pero dos de las seis semanas coinciden con un feriado que históricamente afecta ese indicador; por eso se recomienda extender la campaña dos semanas más antes de decidir, en lugar de cancelarla ahora. La recomendación declara la incertidumbre en vez de esconderla y propone un siguiente paso concreto.</w:t>
            </w:r>
          </w:p>
        </w:tc>
      </w:tr>
    </w:tbl>
    <w:p>
      <w:pPr>
        <w:spacing w:after="80"/>
      </w:pPr>
    </w:p>
    <w:p>
      <w:r>
        <w:t>Visto así, auditar y comunicar no son pasos técnicos ni formales: son los que convierten un análisis en una decisión que alguien puede respaldar. Este mismo recorrido es el que trabajarás en los dos temas de esta unidad.</w:t>
      </w:r>
    </w:p>
    <w:p>
      <w:pPr>
        <w:pStyle w:val="Heading1"/>
      </w:pPr>
      <w:r>
        <w:t>Tema 3 · Auditar críticamente los resultados obtenidos</w:t>
      </w:r>
    </w:p>
    <w:tbl>
      <w:tblPr>
        <w:tblStyle w:val="TableGrid"/>
        <w:tblW w:type="auto" w:w="0"/>
        <w:jc w:val="left"/>
        <w:tblLook w:firstColumn="1" w:firstRow="1" w:lastColumn="0" w:lastRow="0" w:noHBand="0" w:noVBand="1" w:val="04A0"/>
      </w:tblPr>
      <w:tblGrid>
        <w:gridCol w:w="4759"/>
        <w:gridCol w:w="4759"/>
      </w:tblGrid>
      <w:tr>
        <w:tc>
          <w:tcPr>
            <w:tcW w:type="dxa" w:w="2494"/>
            <w:shd w:fill="EFECF7"/>
          </w:tcPr>
          <w:p>
            <w:r/>
            <w:r>
              <w:rPr>
                <w:b/>
                <w:color w:val="503B96"/>
                <w:sz w:val="16"/>
                <w:spacing w:val="30"/>
              </w:rPr>
              <w:t>CAMPO</w:t>
            </w:r>
          </w:p>
        </w:tc>
        <w:tc>
          <w:tcPr>
            <w:tcW w:type="dxa" w:w="6803"/>
            <w:shd w:fill="EFECF7"/>
          </w:tcPr>
          <w:p>
            <w:r/>
            <w:r>
              <w:rPr>
                <w:b/>
                <w:color w:val="503B96"/>
                <w:sz w:val="16"/>
                <w:spacing w:val="30"/>
              </w:rPr>
              <w:t>CONTENIDO</w:t>
            </w:r>
          </w:p>
        </w:tc>
      </w:tr>
      <w:tr>
        <w:tc>
          <w:tcPr>
            <w:tcW w:type="dxa" w:w="2494"/>
          </w:tcPr>
          <w:p>
            <w:r/>
            <w:r>
              <w:rPr>
                <w:b w:val="0"/>
                <w:i w:val="0"/>
                <w:sz w:val="20"/>
              </w:rPr>
              <w:t>Resultado / criterio</w:t>
            </w:r>
          </w:p>
        </w:tc>
        <w:tc>
          <w:tcPr>
            <w:tcW w:type="dxa" w:w="6803"/>
          </w:tcPr>
          <w:p>
            <w:r/>
            <w:r>
              <w:rPr>
                <w:b w:val="0"/>
                <w:i w:val="0"/>
                <w:sz w:val="20"/>
              </w:rPr>
              <w:t>Audita los resultados obtenidos con IA mediante la técnica de las tres fuentes, reconociendo alucinación y sesgo de automatización.</w:t>
            </w:r>
          </w:p>
        </w:tc>
      </w:tr>
      <w:tr>
        <w:tc>
          <w:tcPr>
            <w:tcW w:type="dxa" w:w="2494"/>
          </w:tcPr>
          <w:p>
            <w:r/>
            <w:r>
              <w:rPr>
                <w:b w:val="0"/>
                <w:i w:val="0"/>
                <w:sz w:val="20"/>
              </w:rPr>
              <w:t>Propósito del tema</w:t>
            </w:r>
          </w:p>
        </w:tc>
        <w:tc>
          <w:tcPr>
            <w:tcW w:type="dxa" w:w="6803"/>
          </w:tcPr>
          <w:p>
            <w:r/>
            <w:r>
              <w:rPr>
                <w:b w:val="0"/>
                <w:i w:val="0"/>
                <w:sz w:val="20"/>
              </w:rPr>
              <w:t>Instalar el hábito de verificar antes de actuar, distinguiendo la auditoría sistemática de la desconfianza total.</w:t>
            </w:r>
          </w:p>
        </w:tc>
      </w:tr>
    </w:tbl>
    <w:p>
      <w:pPr>
        <w:spacing w:after="80"/>
      </w:pPr>
    </w:p>
    <w:p>
      <w:r>
        <w:t>Este es el tema con más peso del curso y el que más lo distingue de una introducción genérica a la IA. Auditar un resultado no significa desconfiar de todo lo que la IA produce; significa verificar antes de actuar. La diferencia es sutil, pero decisiva.</w:t>
      </w:r>
    </w:p>
    <w:p>
      <w:pPr>
        <w:pStyle w:val="Heading2"/>
      </w:pPr>
      <w:r>
        <w:t>3.1 Dos fenómenos que conviene nombrar</w:t>
      </w:r>
    </w:p>
    <w:p>
      <w:r>
        <w:t>Vale la pena ponerles nombre a dos fenómenos, porque nombrarlos es lo que permite reconocerlos a tiempo:</w:t>
      </w:r>
    </w:p>
    <w:tbl>
      <w:tblPr>
        <w:tblW w:type="auto" w:w="0"/>
        <w:jc w:val="left"/>
        <w:tblLook w:firstColumn="1" w:firstRow="1" w:lastColumn="0" w:lastRow="0" w:noHBand="0" w:noVBand="1" w:val="04A0"/>
      </w:tblPr>
      <w:tblGrid>
        <w:gridCol w:w="9518"/>
      </w:tblGrid>
      <w:tr>
        <w:tc>
          <w:tcPr>
            <w:tcW w:type="dxa" w:w="9518"/>
            <w:shd w:fill="EFECF7"/>
            <w:tcBorders>
              <w:left w:val="single" w:sz="30" w:color="503B96"/>
              <w:top w:val="single" w:sz="6" w:color="EFECF7"/>
              <w:bottom w:val="single" w:sz="6" w:color="EFECF7"/>
              <w:right w:val="single" w:sz="6" w:color="EFECF7"/>
            </w:tcBorders>
            <w:tcMar>
              <w:top w:w="100" w:type="dxa"/>
              <w:bottom w:w="100" w:type="dxa"/>
              <w:left w:w="160" w:type="dxa"/>
              <w:right w:w="160" w:type="dxa"/>
            </w:tcMar>
          </w:tcPr>
          <w:p>
            <w:pPr>
              <w:spacing w:after="80"/>
            </w:pPr>
            <w:r/>
            <w:r>
              <w:rPr>
                <w:b/>
                <w:color w:val="503B96"/>
                <w:sz w:val="16"/>
                <w:spacing w:val="30"/>
              </w:rPr>
              <w:t>COMPONENTE</w:t>
            </w:r>
          </w:p>
          <w:p>
            <w:pPr>
              <w:spacing w:after="40"/>
            </w:pPr>
            <w:r>
              <w:rPr>
                <w:b/>
                <w:i w:val="0"/>
                <w:sz w:val="21"/>
              </w:rPr>
              <w:t>Acordeón: Los dos fenómenos</w:t>
            </w:r>
          </w:p>
          <w:p>
            <w:pPr>
              <w:spacing w:after="40"/>
            </w:pPr>
            <w:r>
              <w:rPr>
                <w:b/>
                <w:i w:val="0"/>
                <w:sz w:val="21"/>
              </w:rPr>
              <w:t xml:space="preserve">Ítem: </w:t>
            </w:r>
            <w:r>
              <w:rPr>
                <w:b w:val="0"/>
                <w:i w:val="0"/>
                <w:sz w:val="21"/>
              </w:rPr>
              <w:t>Alucinación — La IA puede presentar información con toda la apariencia de certeza —cifras, nombres, referencias— que sencillamente no es correcta. No es un error de cálculo: su función es producir texto plausible, no comprobar hechos. La defensa es siempre la misma: toda cifra o afirmación que vaya a sostener una decisión debe poder verificarse contra una fuente ajena a la IA.</w:t>
            </w:r>
          </w:p>
          <w:p>
            <w:pPr>
              <w:spacing w:after="40"/>
            </w:pPr>
            <w:r>
              <w:rPr>
                <w:b/>
                <w:i w:val="0"/>
                <w:sz w:val="21"/>
              </w:rPr>
              <w:t xml:space="preserve">Ítem: </w:t>
            </w:r>
            <w:r>
              <w:rPr>
                <w:b w:val="0"/>
                <w:i w:val="0"/>
                <w:sz w:val="21"/>
              </w:rPr>
              <w:t>Sesgo de automatización — Es la tendencia a confiar más en una recomendación por el solo hecho de venir de un sistema. Es el error inverso al anterior: no es que la IA mienta, es que bajamos la guardia frente a ella más de lo que la bajaríamos frente a un colega.</w:t>
            </w:r>
          </w:p>
        </w:tc>
      </w:tr>
    </w:tbl>
    <w:p>
      <w:pPr>
        <w:spacing w:after="80"/>
      </w:pPr>
    </w:p>
    <w:p>
      <w:r>
        <w:t>La auditoría que enseña este tema cabe en tres preguntas, pensadas para volverse un hábito y no una lista que se llena una sola vez: ¿esto se puede verificar en algo que no sea la propia IA?, ¿qué pasaría si esta cifra estuviera mal? y ¿esta recomendación depende de un contexto que la IA no podía conocer?</w:t>
      </w:r>
    </w:p>
    <w:tbl>
      <w:tblPr>
        <w:tblW w:type="auto" w:w="0"/>
        <w:jc w:val="left"/>
        <w:tblLook w:firstColumn="1" w:firstRow="1" w:lastColumn="0" w:lastRow="0" w:noHBand="0" w:noVBand="1" w:val="04A0"/>
      </w:tblPr>
      <w:tblGrid>
        <w:gridCol w:w="9518"/>
      </w:tblGrid>
      <w:tr>
        <w:tc>
          <w:tcPr>
            <w:tcW w:type="dxa" w:w="9518"/>
            <w:shd w:fill="EFECF7"/>
            <w:tcBorders>
              <w:left w:val="single" w:sz="30" w:color="503B96"/>
              <w:top w:val="single" w:sz="6" w:color="EFECF7"/>
              <w:bottom w:val="single" w:sz="6" w:color="EFECF7"/>
              <w:right w:val="single" w:sz="6" w:color="EFECF7"/>
            </w:tcBorders>
            <w:tcMar>
              <w:top w:w="100" w:type="dxa"/>
              <w:bottom w:w="100" w:type="dxa"/>
              <w:left w:w="160" w:type="dxa"/>
              <w:right w:w="160" w:type="dxa"/>
            </w:tcMar>
          </w:tcPr>
          <w:p>
            <w:pPr>
              <w:spacing w:after="80"/>
            </w:pPr>
            <w:r/>
            <w:r>
              <w:rPr>
                <w:b/>
                <w:color w:val="503B96"/>
                <w:sz w:val="16"/>
                <w:spacing w:val="30"/>
              </w:rPr>
              <w:t>COMPONENTE</w:t>
            </w:r>
          </w:p>
          <w:p>
            <w:pPr>
              <w:spacing w:after="40"/>
            </w:pPr>
            <w:r>
              <w:rPr>
                <w:b/>
                <w:i w:val="0"/>
                <w:sz w:val="21"/>
              </w:rPr>
              <w:t>Bloque destacado: Por qué se audita</w:t>
            </w:r>
          </w:p>
          <w:p>
            <w:pPr>
              <w:spacing w:after="40"/>
            </w:pPr>
            <w:r>
              <w:rPr>
                <w:b/>
                <w:i w:val="0"/>
                <w:sz w:val="21"/>
              </w:rPr>
              <w:t xml:space="preserve">Etiqueta: </w:t>
            </w:r>
            <w:r>
              <w:rPr>
                <w:b w:val="0"/>
                <w:i w:val="0"/>
                <w:sz w:val="21"/>
              </w:rPr>
              <w:t>Idea clave</w:t>
            </w:r>
          </w:p>
          <w:p>
            <w:pPr>
              <w:spacing w:after="40"/>
            </w:pPr>
            <w:r>
              <w:rPr>
                <w:b/>
                <w:i w:val="0"/>
                <w:sz w:val="21"/>
              </w:rPr>
              <w:t xml:space="preserve">Texto: </w:t>
            </w:r>
            <w:r>
              <w:rPr>
                <w:b w:val="0"/>
                <w:i w:val="0"/>
                <w:sz w:val="21"/>
              </w:rPr>
              <w:t>No se audita porque la IA sea mala. Se audita porque ninguna decisión seria se sostiene solo en la palabra de quien la sugirió —humano o artificial.</w:t>
            </w:r>
          </w:p>
        </w:tc>
      </w:tr>
    </w:tbl>
    <w:p>
      <w:pPr>
        <w:spacing w:after="80"/>
      </w:pPr>
    </w:p>
    <w:p>
      <w:pPr>
        <w:pStyle w:val="Heading2"/>
      </w:pPr>
      <w:r>
        <w:t>3.2 La técnica de las tres fuentes</w:t>
      </w:r>
    </w:p>
    <w:p>
      <w:r>
        <w:t>Una forma práctica de instalar el hábito es la técnica de las tres fuentes: antes de aceptar una afirmación relevante de la IA, busca confirmarla con al menos una de tres fuentes independientes. Si ninguna de las tres la confirma, esa afirmación no debería sostener la decisión: se trata como hipótesis, no como hecho.</w:t>
      </w:r>
    </w:p>
    <w:tbl>
      <w:tblPr>
        <w:tblW w:type="auto" w:w="0"/>
        <w:jc w:val="left"/>
        <w:tblLook w:firstColumn="1" w:firstRow="1" w:lastColumn="0" w:lastRow="0" w:noHBand="0" w:noVBand="1" w:val="04A0"/>
      </w:tblPr>
      <w:tblGrid>
        <w:gridCol w:w="9518"/>
      </w:tblGrid>
      <w:tr>
        <w:tc>
          <w:tcPr>
            <w:tcW w:type="dxa" w:w="9518"/>
            <w:shd w:fill="EFECF7"/>
            <w:tcBorders>
              <w:left w:val="single" w:sz="30" w:color="503B96"/>
              <w:top w:val="single" w:sz="6" w:color="EFECF7"/>
              <w:bottom w:val="single" w:sz="6" w:color="EFECF7"/>
              <w:right w:val="single" w:sz="6" w:color="EFECF7"/>
            </w:tcBorders>
            <w:tcMar>
              <w:top w:w="100" w:type="dxa"/>
              <w:bottom w:w="100" w:type="dxa"/>
              <w:left w:w="160" w:type="dxa"/>
              <w:right w:w="160" w:type="dxa"/>
            </w:tcMar>
          </w:tcPr>
          <w:p>
            <w:pPr>
              <w:spacing w:after="80"/>
            </w:pPr>
            <w:r/>
            <w:r>
              <w:rPr>
                <w:b/>
                <w:color w:val="503B96"/>
                <w:sz w:val="16"/>
                <w:spacing w:val="30"/>
              </w:rPr>
              <w:t>COMPONENTE</w:t>
            </w:r>
          </w:p>
          <w:p>
            <w:pPr>
              <w:spacing w:after="40"/>
            </w:pPr>
            <w:r>
              <w:rPr>
                <w:b/>
                <w:i w:val="0"/>
                <w:sz w:val="21"/>
              </w:rPr>
              <w:t>Recorrido de pasos: Las tres fuentes</w:t>
            </w:r>
          </w:p>
          <w:p>
            <w:pPr>
              <w:spacing w:after="40"/>
            </w:pPr>
            <w:r>
              <w:rPr>
                <w:b/>
                <w:i w:val="0"/>
                <w:sz w:val="21"/>
              </w:rPr>
              <w:t xml:space="preserve">Paso: </w:t>
            </w:r>
            <w:r>
              <w:rPr>
                <w:b w:val="0"/>
                <w:i w:val="0"/>
                <w:sz w:val="21"/>
              </w:rPr>
              <w:t>Dato interno — Un reporte, un sistema, una cifra propia de la organización.</w:t>
            </w:r>
          </w:p>
          <w:p>
            <w:pPr>
              <w:spacing w:after="40"/>
            </w:pPr>
            <w:r>
              <w:rPr>
                <w:b/>
                <w:i w:val="0"/>
                <w:sz w:val="21"/>
              </w:rPr>
              <w:t xml:space="preserve">Paso: </w:t>
            </w:r>
            <w:r>
              <w:rPr>
                <w:b w:val="0"/>
                <w:i w:val="0"/>
                <w:sz w:val="21"/>
              </w:rPr>
              <w:t>Experiencia directa — Alguien que conoce el tema desde la práctica y puede confirmar o refutar la afirmación.</w:t>
            </w:r>
          </w:p>
          <w:p>
            <w:pPr>
              <w:spacing w:after="40"/>
            </w:pPr>
            <w:r>
              <w:rPr>
                <w:b/>
                <w:i w:val="0"/>
                <w:sz w:val="21"/>
              </w:rPr>
              <w:t xml:space="preserve">Paso: </w:t>
            </w:r>
            <w:r>
              <w:rPr>
                <w:b w:val="0"/>
                <w:i w:val="0"/>
                <w:sz w:val="21"/>
              </w:rPr>
              <w:t>Fuente externa verificable — Un documento oficial, un proveedor, una norma.</w:t>
            </w:r>
          </w:p>
        </w:tc>
      </w:tr>
    </w:tbl>
    <w:p>
      <w:pPr>
        <w:spacing w:after="80"/>
      </w:pPr>
    </w:p>
    <w:tbl>
      <w:tblPr>
        <w:tblW w:type="auto" w:w="0"/>
        <w:jc w:val="left"/>
        <w:tblLook w:firstColumn="1" w:firstRow="1" w:lastColumn="0" w:lastRow="0" w:noHBand="0" w:noVBand="1" w:val="04A0"/>
      </w:tblPr>
      <w:tblGrid>
        <w:gridCol w:w="9518"/>
      </w:tblGrid>
      <w:tr>
        <w:tc>
          <w:tcPr>
            <w:tcW w:type="dxa" w:w="9518"/>
            <w:shd w:fill="EFECF7"/>
            <w:tcBorders>
              <w:left w:val="single" w:sz="30" w:color="503B96"/>
              <w:top w:val="single" w:sz="6" w:color="EFECF7"/>
              <w:bottom w:val="single" w:sz="6" w:color="EFECF7"/>
              <w:right w:val="single" w:sz="6" w:color="EFECF7"/>
            </w:tcBorders>
            <w:tcMar>
              <w:top w:w="100" w:type="dxa"/>
              <w:bottom w:w="100" w:type="dxa"/>
              <w:left w:w="160" w:type="dxa"/>
              <w:right w:w="160" w:type="dxa"/>
            </w:tcMar>
          </w:tcPr>
          <w:p>
            <w:pPr>
              <w:spacing w:after="80"/>
            </w:pPr>
            <w:r/>
            <w:r>
              <w:rPr>
                <w:b/>
                <w:color w:val="503B96"/>
                <w:sz w:val="16"/>
                <w:spacing w:val="30"/>
              </w:rPr>
              <w:t>COMPONENTE</w:t>
            </w:r>
          </w:p>
          <w:p>
            <w:pPr>
              <w:spacing w:after="40"/>
            </w:pPr>
            <w:r>
              <w:rPr>
                <w:b/>
                <w:i w:val="0"/>
                <w:sz w:val="21"/>
              </w:rPr>
              <w:t>Bloque destacado: Si ninguna confirma</w:t>
            </w:r>
          </w:p>
          <w:p>
            <w:pPr>
              <w:spacing w:after="40"/>
            </w:pPr>
            <w:r>
              <w:rPr>
                <w:b/>
                <w:i w:val="0"/>
                <w:sz w:val="21"/>
              </w:rPr>
              <w:t xml:space="preserve">Etiqueta: </w:t>
            </w:r>
            <w:r>
              <w:rPr>
                <w:b w:val="0"/>
                <w:i w:val="0"/>
                <w:sz w:val="21"/>
              </w:rPr>
              <w:t>Atención</w:t>
            </w:r>
          </w:p>
          <w:p>
            <w:pPr>
              <w:spacing w:after="40"/>
            </w:pPr>
            <w:r>
              <w:rPr>
                <w:b/>
                <w:i w:val="0"/>
                <w:sz w:val="21"/>
              </w:rPr>
              <w:t xml:space="preserve">Texto: </w:t>
            </w:r>
            <w:r>
              <w:rPr>
                <w:b w:val="0"/>
                <w:i w:val="0"/>
                <w:sz w:val="21"/>
              </w:rPr>
              <w:t>Si ninguna de las tres confirma la afirmación, esa afirmación no debería sostener la decisión: se trata como hipótesis, no como hecho.</w:t>
            </w:r>
          </w:p>
        </w:tc>
      </w:tr>
    </w:tbl>
    <w:p>
      <w:pPr>
        <w:spacing w:after="80"/>
      </w:pPr>
    </w:p>
    <w:p>
      <w:r>
        <w:t>Queda una objeción razonable: «si tengo que verificar todo, ¿para qué uso la IA?». La respuesta es que la auditoría es proporcional al riesgo de la decisión. Calibrar ese esfuerzo —cuánto auditar según cuánto está en juego— es, en sí mismo, parte de la competencia.</w:t>
      </w:r>
    </w:p>
    <w:tbl>
      <w:tblPr>
        <w:tblW w:type="auto" w:w="0"/>
        <w:jc w:val="left"/>
        <w:tblLook w:firstColumn="1" w:firstRow="1" w:lastColumn="0" w:lastRow="0" w:noHBand="0" w:noVBand="1" w:val="04A0"/>
      </w:tblPr>
      <w:tblGrid>
        <w:gridCol w:w="9518"/>
      </w:tblGrid>
      <w:tr>
        <w:tc>
          <w:tcPr>
            <w:tcW w:type="dxa" w:w="9518"/>
            <w:shd w:fill="EFECF7"/>
            <w:tcBorders>
              <w:left w:val="single" w:sz="30" w:color="503B96"/>
              <w:top w:val="single" w:sz="6" w:color="EFECF7"/>
              <w:bottom w:val="single" w:sz="6" w:color="EFECF7"/>
              <w:right w:val="single" w:sz="6" w:color="EFECF7"/>
            </w:tcBorders>
            <w:tcMar>
              <w:top w:w="100" w:type="dxa"/>
              <w:bottom w:w="100" w:type="dxa"/>
              <w:left w:w="160" w:type="dxa"/>
              <w:right w:w="160" w:type="dxa"/>
            </w:tcMar>
          </w:tcPr>
          <w:p>
            <w:pPr>
              <w:spacing w:after="80"/>
            </w:pPr>
            <w:r/>
            <w:r>
              <w:rPr>
                <w:b/>
                <w:color w:val="503B96"/>
                <w:sz w:val="16"/>
                <w:spacing w:val="30"/>
              </w:rPr>
              <w:t>COMPONENTE</w:t>
            </w:r>
          </w:p>
          <w:p>
            <w:pPr>
              <w:spacing w:after="40"/>
            </w:pPr>
            <w:r>
              <w:rPr>
                <w:b/>
                <w:i w:val="0"/>
                <w:sz w:val="21"/>
              </w:rPr>
              <w:t>Dato curioso en cifras: Cuando la alerta falsa convence</w:t>
            </w:r>
          </w:p>
          <w:p>
            <w:pPr>
              <w:spacing w:after="40"/>
            </w:pPr>
            <w:r>
              <w:rPr>
                <w:b/>
                <w:i w:val="0"/>
                <w:sz w:val="21"/>
              </w:rPr>
              <w:t xml:space="preserve">Cifra: </w:t>
            </w:r>
            <w:r>
              <w:rPr>
                <w:b w:val="0"/>
                <w:i w:val="0"/>
                <w:sz w:val="21"/>
              </w:rPr>
              <w:t>51,7 % a 65,8 %</w:t>
            </w:r>
          </w:p>
          <w:p>
            <w:pPr>
              <w:spacing w:after="40"/>
            </w:pPr>
            <w:r>
              <w:rPr>
                <w:b/>
                <w:i w:val="0"/>
                <w:sz w:val="21"/>
              </w:rPr>
              <w:t xml:space="preserve">Rótulo: </w:t>
            </w:r>
            <w:r>
              <w:rPr>
                <w:b w:val="0"/>
                <w:i w:val="0"/>
                <w:sz w:val="21"/>
              </w:rPr>
              <w:t>de los participantes aceptó alertas falsas</w:t>
            </w:r>
          </w:p>
          <w:p>
            <w:pPr>
              <w:spacing w:after="40"/>
            </w:pPr>
            <w:r>
              <w:rPr>
                <w:b/>
                <w:i w:val="0"/>
                <w:sz w:val="21"/>
              </w:rPr>
              <w:t xml:space="preserve">Texto: </w:t>
            </w:r>
            <w:r>
              <w:rPr>
                <w:b w:val="0"/>
                <w:i w:val="0"/>
                <w:sz w:val="21"/>
              </w:rPr>
              <w:t>En un experimento de prescripción electrónica con 120 estudiantes de medicina, cuando el sistema de apoyo entregaba recomendaciones incorrectas, entre 51,7 % y 65,8 % de los participantes cometió errores de comisión al aceptar alertas falsas. El hallazgo ilustra que una interfaz convincente no reemplaza la verificación.</w:t>
            </w:r>
          </w:p>
          <w:p>
            <w:pPr>
              <w:spacing w:after="40"/>
            </w:pPr>
            <w:r>
              <w:rPr>
                <w:b/>
                <w:i w:val="0"/>
                <w:sz w:val="21"/>
              </w:rPr>
              <w:t xml:space="preserve">Fuente: </w:t>
            </w:r>
            <w:r>
              <w:rPr>
                <w:b w:val="0"/>
                <w:i w:val="0"/>
                <w:sz w:val="21"/>
              </w:rPr>
              <w:t>Lyell, D., Magrabi, F., Raban, M. Z., Pont, L. G., Baysari, M. T., Day, R. O. y Coiera, E. (2017). Automation bias in electronic prescribing. BMC Medical Informatics and Decision Making, 17, 28.</w:t>
            </w:r>
          </w:p>
        </w:tc>
      </w:tr>
    </w:tbl>
    <w:p>
      <w:pPr>
        <w:spacing w:after="80"/>
      </w:pPr>
    </w:p>
    <w:tbl>
      <w:tblPr>
        <w:tblW w:type="auto" w:w="0"/>
        <w:jc w:val="left"/>
        <w:tblLook w:firstColumn="1" w:firstRow="1" w:lastColumn="0" w:lastRow="0" w:noHBand="0" w:noVBand="1" w:val="04A0"/>
      </w:tblPr>
      <w:tblGrid>
        <w:gridCol w:w="9518"/>
      </w:tblGrid>
      <w:tr>
        <w:tc>
          <w:tcPr>
            <w:tcW w:type="dxa" w:w="9518"/>
            <w:shd w:fill="F3F3F5"/>
            <w:tcBorders>
              <w:left w:val="single" w:sz="30" w:color="9A9EB0"/>
              <w:top w:val="single" w:sz="6" w:color="F3F3F5"/>
              <w:bottom w:val="single" w:sz="6" w:color="F3F3F5"/>
              <w:right w:val="single" w:sz="6" w:color="F3F3F5"/>
            </w:tcBorders>
            <w:tcMar>
              <w:top w:w="100" w:type="dxa"/>
              <w:bottom w:w="100" w:type="dxa"/>
              <w:left w:w="160" w:type="dxa"/>
              <w:right w:w="160" w:type="dxa"/>
            </w:tcMar>
          </w:tcPr>
          <w:p>
            <w:pPr>
              <w:spacing w:after="80"/>
            </w:pPr>
            <w:r/>
            <w:r>
              <w:rPr>
                <w:b/>
                <w:color w:val="5C6280"/>
                <w:sz w:val="16"/>
                <w:spacing w:val="30"/>
              </w:rPr>
              <w:t>NOTA PARA PRODUCCIÓN · NO SALE EN EL CURSO</w:t>
            </w:r>
          </w:p>
          <w:p>
            <w:pPr>
              <w:spacing w:after="40"/>
            </w:pPr>
            <w:r>
              <w:rPr>
                <w:b w:val="0"/>
                <w:i w:val="0"/>
                <w:sz w:val="21"/>
              </w:rPr>
              <w:t>El rango puede leerse como «de cada 10» si eso lo hace más claro en pantalla. La reformulación la propone producción y nosotros la validamos.</w:t>
            </w:r>
          </w:p>
        </w:tc>
      </w:tr>
    </w:tbl>
    <w:p>
      <w:pPr>
        <w:spacing w:after="80"/>
      </w:pPr>
    </w:p>
    <w:tbl>
      <w:tblPr>
        <w:tblW w:type="auto" w:w="0"/>
        <w:jc w:val="left"/>
        <w:tblLook w:firstColumn="1" w:firstRow="1" w:lastColumn="0" w:lastRow="0" w:noHBand="0" w:noVBand="1" w:val="04A0"/>
      </w:tblPr>
      <w:tblGrid>
        <w:gridCol w:w="9518"/>
      </w:tblGrid>
      <w:tr>
        <w:tc>
          <w:tcPr>
            <w:tcW w:type="dxa" w:w="9518"/>
            <w:shd w:fill="EFECF7"/>
            <w:tcBorders>
              <w:left w:val="single" w:sz="30" w:color="503B96"/>
              <w:top w:val="single" w:sz="6" w:color="EFECF7"/>
              <w:bottom w:val="single" w:sz="6" w:color="EFECF7"/>
              <w:right w:val="single" w:sz="6" w:color="EFECF7"/>
            </w:tcBorders>
            <w:tcMar>
              <w:top w:w="100" w:type="dxa"/>
              <w:bottom w:w="100" w:type="dxa"/>
              <w:left w:w="160" w:type="dxa"/>
              <w:right w:w="160" w:type="dxa"/>
            </w:tcMar>
          </w:tcPr>
          <w:p>
            <w:pPr>
              <w:spacing w:after="80"/>
            </w:pPr>
            <w:r/>
            <w:r>
              <w:rPr>
                <w:b/>
                <w:color w:val="503B96"/>
                <w:sz w:val="16"/>
                <w:spacing w:val="30"/>
              </w:rPr>
              <w:t>COMPONENTE</w:t>
            </w:r>
          </w:p>
          <w:p>
            <w:pPr>
              <w:spacing w:after="40"/>
            </w:pPr>
            <w:r>
              <w:rPr>
                <w:b/>
                <w:i w:val="0"/>
                <w:sz w:val="21"/>
              </w:rPr>
              <w:t>Comparativo: El error y el criterio</w:t>
            </w:r>
          </w:p>
          <w:p>
            <w:pPr>
              <w:spacing w:after="40"/>
            </w:pPr>
            <w:r>
              <w:rPr>
                <w:b/>
                <w:i w:val="0"/>
                <w:sz w:val="21"/>
              </w:rPr>
              <w:t xml:space="preserve">Error frecuente: </w:t>
            </w:r>
            <w:r>
              <w:rPr>
                <w:b w:val="0"/>
                <w:i w:val="0"/>
                <w:sz w:val="21"/>
              </w:rPr>
              <w:t>Aceptar una cifra bien presentada sin contrastarla, porque venía acompañada de nombres y referencias que le daban apariencia de certeza.</w:t>
            </w:r>
          </w:p>
          <w:p>
            <w:pPr>
              <w:spacing w:after="40"/>
            </w:pPr>
            <w:r>
              <w:rPr>
                <w:b/>
                <w:i w:val="0"/>
                <w:sz w:val="21"/>
              </w:rPr>
              <w:t xml:space="preserve">Criterio de aceptación: </w:t>
            </w:r>
            <w:r>
              <w:rPr>
                <w:b w:val="0"/>
                <w:i w:val="0"/>
                <w:sz w:val="21"/>
              </w:rPr>
              <w:t>Toda cifra o afirmación que vaya a sostener una decisión debe poder verificarse contra una fuente ajena a la herramienta; si no se logra, se declara explícitamente como hipótesis.</w:t>
            </w:r>
          </w:p>
        </w:tc>
      </w:tr>
    </w:tbl>
    <w:p>
      <w:pPr>
        <w:spacing w:after="80"/>
      </w:pPr>
    </w:p>
    <w:tbl>
      <w:tblPr>
        <w:tblW w:type="auto" w:w="0"/>
        <w:jc w:val="left"/>
        <w:tblLook w:firstColumn="1" w:firstRow="1" w:lastColumn="0" w:lastRow="0" w:noHBand="0" w:noVBand="1" w:val="04A0"/>
      </w:tblPr>
      <w:tblGrid>
        <w:gridCol w:w="9518"/>
      </w:tblGrid>
      <w:tr>
        <w:tc>
          <w:tcPr>
            <w:tcW w:type="dxa" w:w="9518"/>
            <w:shd w:fill="EFECF7"/>
            <w:tcBorders>
              <w:left w:val="single" w:sz="30" w:color="503B96"/>
              <w:top w:val="single" w:sz="6" w:color="EFECF7"/>
              <w:bottom w:val="single" w:sz="6" w:color="EFECF7"/>
              <w:right w:val="single" w:sz="6" w:color="EFECF7"/>
            </w:tcBorders>
            <w:tcMar>
              <w:top w:w="100" w:type="dxa"/>
              <w:bottom w:w="100" w:type="dxa"/>
              <w:left w:w="160" w:type="dxa"/>
              <w:right w:w="160" w:type="dxa"/>
            </w:tcMar>
          </w:tcPr>
          <w:p>
            <w:pPr>
              <w:spacing w:after="80"/>
            </w:pPr>
            <w:r/>
            <w:r>
              <w:rPr>
                <w:b/>
                <w:color w:val="503B96"/>
                <w:sz w:val="16"/>
                <w:spacing w:val="30"/>
              </w:rPr>
              <w:t>COMPONENTE</w:t>
            </w:r>
          </w:p>
          <w:p>
            <w:pPr>
              <w:spacing w:after="40"/>
            </w:pPr>
            <w:r>
              <w:rPr>
                <w:b/>
                <w:i w:val="0"/>
                <w:sz w:val="21"/>
              </w:rPr>
              <w:t>Bloque destacado: Dónde concentrar la verificación</w:t>
            </w:r>
          </w:p>
          <w:p>
            <w:pPr>
              <w:spacing w:after="40"/>
            </w:pPr>
            <w:r>
              <w:rPr>
                <w:b/>
                <w:i w:val="0"/>
                <w:sz w:val="21"/>
              </w:rPr>
              <w:t xml:space="preserve">Etiqueta: </w:t>
            </w:r>
            <w:r>
              <w:rPr>
                <w:b w:val="0"/>
                <w:i w:val="0"/>
                <w:sz w:val="21"/>
              </w:rPr>
              <w:t>Clave de aplicación</w:t>
            </w:r>
          </w:p>
          <w:p>
            <w:pPr>
              <w:spacing w:after="40"/>
            </w:pPr>
            <w:r>
              <w:rPr>
                <w:b/>
                <w:i w:val="0"/>
                <w:sz w:val="21"/>
              </w:rPr>
              <w:t xml:space="preserve">Texto: </w:t>
            </w:r>
            <w:r>
              <w:rPr>
                <w:b w:val="0"/>
                <w:i w:val="0"/>
                <w:sz w:val="21"/>
              </w:rPr>
              <w:t>La automatización puede mejorar el desempeño cuando acierta y, al mismo tiempo, introducir errores nuevos cuando falla. Auditar no consiste en repetir todo el análisis: consiste en concentrar la verificación en las afirmaciones que cambian la decisión o cuyo error tendría mayor costo.</w:t>
            </w:r>
          </w:p>
        </w:tc>
      </w:tr>
    </w:tbl>
    <w:p>
      <w:pPr>
        <w:spacing w:after="80"/>
      </w:pPr>
    </w:p>
    <w:tbl>
      <w:tblPr>
        <w:tblW w:type="auto" w:w="0"/>
        <w:jc w:val="left"/>
        <w:tblLook w:firstColumn="1" w:firstRow="1" w:lastColumn="0" w:lastRow="0" w:noHBand="0" w:noVBand="1" w:val="04A0"/>
      </w:tblPr>
      <w:tblGrid>
        <w:gridCol w:w="9518"/>
      </w:tblGrid>
      <w:tr>
        <w:tc>
          <w:tcPr>
            <w:tcW w:type="dxa" w:w="9518"/>
            <w:shd w:fill="EFECF7"/>
            <w:tcBorders>
              <w:left w:val="single" w:sz="30" w:color="503B96"/>
              <w:top w:val="single" w:sz="6" w:color="EFECF7"/>
              <w:bottom w:val="single" w:sz="6" w:color="EFECF7"/>
              <w:right w:val="single" w:sz="6" w:color="EFECF7"/>
            </w:tcBorders>
            <w:tcMar>
              <w:top w:w="100" w:type="dxa"/>
              <w:bottom w:w="100" w:type="dxa"/>
              <w:left w:w="160" w:type="dxa"/>
              <w:right w:w="160" w:type="dxa"/>
            </w:tcMar>
          </w:tcPr>
          <w:p>
            <w:pPr>
              <w:spacing w:after="80"/>
            </w:pPr>
            <w:r/>
            <w:r>
              <w:rPr>
                <w:b/>
                <w:color w:val="503B96"/>
                <w:sz w:val="16"/>
                <w:spacing w:val="30"/>
              </w:rPr>
              <w:t>COMPONENTE</w:t>
            </w:r>
          </w:p>
          <w:p>
            <w:pPr>
              <w:spacing w:after="40"/>
            </w:pPr>
            <w:r>
              <w:rPr>
                <w:b/>
                <w:i w:val="0"/>
                <w:sz w:val="21"/>
              </w:rPr>
              <w:t>Comparativo: Cuánto auditar</w:t>
            </w:r>
          </w:p>
          <w:p>
            <w:pPr>
              <w:spacing w:after="40"/>
            </w:pPr>
            <w:r>
              <w:rPr>
                <w:b/>
                <w:i w:val="0"/>
                <w:sz w:val="21"/>
              </w:rPr>
              <w:t xml:space="preserve">Aplique: </w:t>
            </w:r>
            <w:r>
              <w:rPr>
                <w:b w:val="0"/>
                <w:i w:val="0"/>
                <w:sz w:val="21"/>
              </w:rPr>
              <w:t>Verificar de forma exhaustiva lo que sea difícil de revertir o tenga consecuencias altas.</w:t>
            </w:r>
          </w:p>
          <w:p>
            <w:pPr>
              <w:spacing w:after="40"/>
            </w:pPr>
            <w:r>
              <w:rPr>
                <w:b/>
                <w:i w:val="0"/>
                <w:sz w:val="21"/>
              </w:rPr>
              <w:t xml:space="preserve">No aplique: </w:t>
            </w:r>
            <w:r>
              <w:rPr>
                <w:b w:val="0"/>
                <w:i w:val="0"/>
                <w:sz w:val="21"/>
              </w:rPr>
              <w:t>Aplicar el mismo nivel de verificación a una decisión reversible y de bajo impacto, porque el costo supera el beneficio.</w:t>
            </w:r>
          </w:p>
        </w:tc>
      </w:tr>
    </w:tbl>
    <w:p>
      <w:pPr>
        <w:spacing w:after="80"/>
      </w:pPr>
    </w:p>
    <w:p>
      <w:r>
        <w:t>Estos fenómenos están bien documentados en la investigación. El sesgo de automatización fue descrito en la literatura de factores humanos como la tendencia a aceptar la salida de un sistema automatizado sin verificarla, sobre todo cuando reduce la carga de trabajo (Parasuraman y Riley, 1997; Skitka et al., 1999).</w:t>
      </w:r>
    </w:p>
    <w:p>
      <w:pPr>
        <w:pStyle w:val="Heading2"/>
      </w:pPr>
      <w:r>
        <w:t>3.3 Video de apoyo</w:t>
      </w:r>
    </w:p>
    <w:tbl>
      <w:tblPr>
        <w:tblW w:type="auto" w:w="0"/>
        <w:jc w:val="left"/>
        <w:tblLook w:firstColumn="1" w:firstRow="1" w:lastColumn="0" w:lastRow="0" w:noHBand="0" w:noVBand="1" w:val="04A0"/>
      </w:tblPr>
      <w:tblGrid>
        <w:gridCol w:w="9518"/>
      </w:tblGrid>
      <w:tr>
        <w:tc>
          <w:tcPr>
            <w:tcW w:type="dxa" w:w="9518"/>
            <w:shd w:fill="EFECF7"/>
            <w:tcBorders>
              <w:left w:val="single" w:sz="30" w:color="503B96"/>
              <w:top w:val="single" w:sz="6" w:color="EFECF7"/>
              <w:bottom w:val="single" w:sz="6" w:color="EFECF7"/>
              <w:right w:val="single" w:sz="6" w:color="EFECF7"/>
            </w:tcBorders>
            <w:tcMar>
              <w:top w:w="100" w:type="dxa"/>
              <w:bottom w:w="100" w:type="dxa"/>
              <w:left w:w="160" w:type="dxa"/>
              <w:right w:w="160" w:type="dxa"/>
            </w:tcMar>
          </w:tcPr>
          <w:p>
            <w:pPr>
              <w:spacing w:after="80"/>
            </w:pPr>
            <w:r/>
            <w:r>
              <w:rPr>
                <w:b/>
                <w:color w:val="503B96"/>
                <w:sz w:val="16"/>
                <w:spacing w:val="30"/>
              </w:rPr>
              <w:t>COMPONENTE</w:t>
            </w:r>
          </w:p>
          <w:p>
            <w:pPr>
              <w:spacing w:after="40"/>
            </w:pPr>
            <w:r>
              <w:rPr>
                <w:b/>
                <w:i w:val="0"/>
                <w:sz w:val="21"/>
              </w:rPr>
              <w:t>Video de apoyo: Medical AI Decision support</w:t>
            </w:r>
          </w:p>
          <w:p>
            <w:pPr>
              <w:spacing w:after="40"/>
            </w:pPr>
            <w:r>
              <w:rPr>
                <w:b/>
                <w:i w:val="0"/>
                <w:sz w:val="21"/>
              </w:rPr>
              <w:t xml:space="preserve">Duración: </w:t>
            </w:r>
            <w:r>
              <w:rPr>
                <w:b w:val="0"/>
                <w:i w:val="0"/>
                <w:sz w:val="21"/>
              </w:rPr>
              <w:t>2 min 01 s</w:t>
            </w:r>
          </w:p>
          <w:p>
            <w:pPr>
              <w:spacing w:after="40"/>
            </w:pPr>
            <w:r>
              <w:rPr>
                <w:b/>
                <w:i w:val="0"/>
                <w:sz w:val="21"/>
              </w:rPr>
              <w:t xml:space="preserve">Qué muestra: </w:t>
            </w:r>
            <w:r>
              <w:rPr>
                <w:b w:val="0"/>
                <w:i w:val="0"/>
                <w:sz w:val="21"/>
              </w:rPr>
              <w:t>Cómo puede introducirse sesgo en un sistema de apoyo a decisiones basado en inteligencia artificial mediante dos modelos con resultados diferentes. Se conecta con Parasuraman y Riley (1997) y Skitka et al. (1999), al evidenciar por qué una salida automatizada debe auditarse antes de utilizarla para sustentar una decisión.</w:t>
            </w:r>
          </w:p>
          <w:p>
            <w:pPr>
              <w:spacing w:after="40"/>
            </w:pPr>
            <w:r>
              <w:rPr>
                <w:b/>
                <w:i w:val="0"/>
                <w:sz w:val="21"/>
              </w:rPr>
              <w:t xml:space="preserve">Enlace: </w:t>
            </w:r>
            <w:r>
              <w:rPr>
                <w:b w:val="0"/>
                <w:i w:val="0"/>
                <w:sz w:val="21"/>
              </w:rPr>
              <w:t>media/video_unidad.mp4 · commons.wikimedia.org/wiki/File:Medical_AI_Decision_support.webm</w:t>
            </w:r>
          </w:p>
          <w:p>
            <w:pPr>
              <w:spacing w:after="40"/>
            </w:pPr>
            <w:r>
              <w:rPr>
                <w:b/>
                <w:i w:val="0"/>
                <w:sz w:val="21"/>
              </w:rPr>
              <w:t xml:space="preserve">Licencia: </w:t>
            </w:r>
            <w:r>
              <w:rPr>
                <w:b w:val="0"/>
                <w:i w:val="0"/>
                <w:sz w:val="21"/>
              </w:rPr>
              <w:t>Creative Commons Atribución 4.0 Internacional (CC BY 4.0).</w:t>
            </w:r>
          </w:p>
          <w:p>
            <w:pPr>
              <w:spacing w:after="40"/>
            </w:pPr>
            <w:r>
              <w:rPr>
                <w:b/>
                <w:i w:val="0"/>
                <w:sz w:val="21"/>
              </w:rPr>
              <w:t xml:space="preserve">Referencia: </w:t>
            </w:r>
            <w:r>
              <w:rPr>
                <w:b w:val="0"/>
                <w:i w:val="0"/>
                <w:sz w:val="21"/>
              </w:rPr>
              <w:t>Msahique. (2024). Medical AI Decision support [Video]. Wikimedia Commons.</w:t>
            </w:r>
          </w:p>
        </w:tc>
      </w:tr>
    </w:tbl>
    <w:p>
      <w:pPr>
        <w:spacing w:after="80"/>
      </w:pPr>
    </w:p>
    <w:tbl>
      <w:tblPr>
        <w:tblW w:type="auto" w:w="0"/>
        <w:jc w:val="left"/>
        <w:tblLook w:firstColumn="1" w:firstRow="1" w:lastColumn="0" w:lastRow="0" w:noHBand="0" w:noVBand="1" w:val="04A0"/>
      </w:tblPr>
      <w:tblGrid>
        <w:gridCol w:w="9518"/>
      </w:tblGrid>
      <w:tr>
        <w:tc>
          <w:tcPr>
            <w:tcW w:type="dxa" w:w="9518"/>
            <w:shd w:fill="EFECF7"/>
            <w:tcBorders>
              <w:left w:val="single" w:sz="30" w:color="503B96"/>
              <w:top w:val="single" w:sz="6" w:color="EFECF7"/>
              <w:bottom w:val="single" w:sz="6" w:color="EFECF7"/>
              <w:right w:val="single" w:sz="6" w:color="EFECF7"/>
            </w:tcBorders>
            <w:tcMar>
              <w:top w:w="100" w:type="dxa"/>
              <w:bottom w:w="100" w:type="dxa"/>
              <w:left w:w="160" w:type="dxa"/>
              <w:right w:w="160" w:type="dxa"/>
            </w:tcMar>
          </w:tcPr>
          <w:p>
            <w:pPr>
              <w:spacing w:after="80"/>
            </w:pPr>
            <w:r/>
            <w:r>
              <w:rPr>
                <w:b/>
                <w:color w:val="503B96"/>
                <w:sz w:val="16"/>
                <w:spacing w:val="30"/>
              </w:rPr>
              <w:t>COMPONENTE</w:t>
            </w:r>
          </w:p>
          <w:p>
            <w:pPr>
              <w:spacing w:after="40"/>
            </w:pPr>
            <w:r>
              <w:rPr>
                <w:b/>
                <w:i w:val="0"/>
                <w:sz w:val="21"/>
              </w:rPr>
              <w:t>Bloque destacado: Para reflexionar</w:t>
            </w:r>
          </w:p>
          <w:p>
            <w:pPr>
              <w:spacing w:after="40"/>
            </w:pPr>
            <w:r>
              <w:rPr>
                <w:b/>
                <w:i w:val="0"/>
                <w:sz w:val="21"/>
              </w:rPr>
              <w:t xml:space="preserve">Etiqueta: </w:t>
            </w:r>
            <w:r>
              <w:rPr>
                <w:b w:val="0"/>
                <w:i w:val="0"/>
                <w:sz w:val="21"/>
              </w:rPr>
              <w:t>Para reflexionar</w:t>
            </w:r>
          </w:p>
          <w:p>
            <w:pPr>
              <w:spacing w:after="40"/>
            </w:pPr>
            <w:r>
              <w:rPr>
                <w:b/>
                <w:i w:val="0"/>
                <w:sz w:val="21"/>
              </w:rPr>
              <w:t xml:space="preserve">Texto: </w:t>
            </w:r>
            <w:r>
              <w:rPr>
                <w:b w:val="0"/>
                <w:i w:val="0"/>
                <w:sz w:val="21"/>
              </w:rPr>
              <w:t>Si una recomendación automatizada parece convincente, ¿qué dato o supuesto verificaría primero, con cuál fuente independiente y qué cambiaría en su decisión si la verificación contradice al sistema?</w:t>
            </w:r>
          </w:p>
        </w:tc>
      </w:tr>
    </w:tbl>
    <w:p>
      <w:pPr>
        <w:spacing w:after="80"/>
      </w:pPr>
    </w:p>
    <w:p>
      <w:pPr>
        <w:pStyle w:val="Heading1"/>
      </w:pPr>
      <w:r>
        <w:t>Tema 4 · Construir y comunicar la recomendación</w:t>
      </w:r>
    </w:p>
    <w:tbl>
      <w:tblPr>
        <w:tblStyle w:val="TableGrid"/>
        <w:tblW w:type="auto" w:w="0"/>
        <w:jc w:val="left"/>
        <w:tblLook w:firstColumn="1" w:firstRow="1" w:lastColumn="0" w:lastRow="0" w:noHBand="0" w:noVBand="1" w:val="04A0"/>
      </w:tblPr>
      <w:tblGrid>
        <w:gridCol w:w="4759"/>
        <w:gridCol w:w="4759"/>
      </w:tblGrid>
      <w:tr>
        <w:tc>
          <w:tcPr>
            <w:tcW w:type="dxa" w:w="2494"/>
            <w:shd w:fill="EFECF7"/>
          </w:tcPr>
          <w:p>
            <w:r/>
            <w:r>
              <w:rPr>
                <w:b/>
                <w:color w:val="503B96"/>
                <w:sz w:val="16"/>
                <w:spacing w:val="30"/>
              </w:rPr>
              <w:t>CAMPO</w:t>
            </w:r>
          </w:p>
        </w:tc>
        <w:tc>
          <w:tcPr>
            <w:tcW w:type="dxa" w:w="6803"/>
            <w:shd w:fill="EFECF7"/>
          </w:tcPr>
          <w:p>
            <w:r/>
            <w:r>
              <w:rPr>
                <w:b/>
                <w:color w:val="503B96"/>
                <w:sz w:val="16"/>
                <w:spacing w:val="30"/>
              </w:rPr>
              <w:t>CONTENIDO</w:t>
            </w:r>
          </w:p>
        </w:tc>
      </w:tr>
      <w:tr>
        <w:tc>
          <w:tcPr>
            <w:tcW w:type="dxa" w:w="2494"/>
          </w:tcPr>
          <w:p>
            <w:r/>
            <w:r>
              <w:rPr>
                <w:b w:val="0"/>
                <w:i w:val="0"/>
                <w:sz w:val="20"/>
              </w:rPr>
              <w:t>Resultado / criterio</w:t>
            </w:r>
          </w:p>
        </w:tc>
        <w:tc>
          <w:tcPr>
            <w:tcW w:type="dxa" w:w="6803"/>
          </w:tcPr>
          <w:p>
            <w:r/>
            <w:r>
              <w:rPr>
                <w:b w:val="0"/>
                <w:i w:val="0"/>
                <w:sz w:val="20"/>
              </w:rPr>
              <w:t>Construye y comunica una recomendación en el lenguaje de quien decide, declarando el criterio, la incertidumbre y el siguiente paso.</w:t>
            </w:r>
          </w:p>
        </w:tc>
      </w:tr>
      <w:tr>
        <w:tc>
          <w:tcPr>
            <w:tcW w:type="dxa" w:w="2494"/>
          </w:tcPr>
          <w:p>
            <w:r/>
            <w:r>
              <w:rPr>
                <w:b w:val="0"/>
                <w:i w:val="0"/>
                <w:sz w:val="20"/>
              </w:rPr>
              <w:t>Propósito del tema</w:t>
            </w:r>
          </w:p>
        </w:tc>
        <w:tc>
          <w:tcPr>
            <w:tcW w:type="dxa" w:w="6803"/>
          </w:tcPr>
          <w:p>
            <w:r/>
            <w:r>
              <w:rPr>
                <w:b w:val="0"/>
                <w:i w:val="0"/>
                <w:sz w:val="20"/>
              </w:rPr>
              <w:t>Sostener una idea frente a alguien que tiene el poder de aceptarla o rechazarla, conectando el trabajo analítico previo con la habilidad de comunicarlo con claridad.</w:t>
            </w:r>
          </w:p>
        </w:tc>
      </w:tr>
    </w:tbl>
    <w:p>
      <w:pPr>
        <w:spacing w:after="80"/>
      </w:pPr>
    </w:p>
    <w:p>
      <w:r>
        <w:t>Una recomendación técnicamente correcta que no logra comunicarse con claridad tiene, en la práctica, el mismo efecto que una equivocada: no se usa. Este tema conecta el trabajo analítico de los temas anteriores con una habilidad que suele subestimarse: sostener una idea frente a alguien que tiene el poder de aceptarla o rechazarla.</w:t>
      </w:r>
    </w:p>
    <w:p>
      <w:pPr>
        <w:pStyle w:val="Heading2"/>
      </w:pPr>
      <w:r>
        <w:t>4.1 Tres elementos que hacen que una recomendación se sostenga</w:t>
      </w:r>
    </w:p>
    <w:p>
      <w:r>
        <w:t>Frente a quien tiene que aprobarla:</w:t>
      </w:r>
    </w:p>
    <w:tbl>
      <w:tblPr>
        <w:tblW w:type="auto" w:w="0"/>
        <w:jc w:val="left"/>
        <w:tblLook w:firstColumn="1" w:firstRow="1" w:lastColumn="0" w:lastRow="0" w:noHBand="0" w:noVBand="1" w:val="04A0"/>
      </w:tblPr>
      <w:tblGrid>
        <w:gridCol w:w="9518"/>
      </w:tblGrid>
      <w:tr>
        <w:tc>
          <w:tcPr>
            <w:tcW w:type="dxa" w:w="9518"/>
            <w:shd w:fill="EFECF7"/>
            <w:tcBorders>
              <w:left w:val="single" w:sz="30" w:color="503B96"/>
              <w:top w:val="single" w:sz="6" w:color="EFECF7"/>
              <w:bottom w:val="single" w:sz="6" w:color="EFECF7"/>
              <w:right w:val="single" w:sz="6" w:color="EFECF7"/>
            </w:tcBorders>
            <w:tcMar>
              <w:top w:w="100" w:type="dxa"/>
              <w:bottom w:w="100" w:type="dxa"/>
              <w:left w:w="160" w:type="dxa"/>
              <w:right w:w="160" w:type="dxa"/>
            </w:tcMar>
          </w:tcPr>
          <w:p>
            <w:pPr>
              <w:spacing w:after="80"/>
            </w:pPr>
            <w:r/>
            <w:r>
              <w:rPr>
                <w:b/>
                <w:color w:val="503B96"/>
                <w:sz w:val="16"/>
                <w:spacing w:val="30"/>
              </w:rPr>
              <w:t>COMPONENTE</w:t>
            </w:r>
          </w:p>
          <w:p>
            <w:pPr>
              <w:spacing w:after="40"/>
            </w:pPr>
            <w:r>
              <w:rPr>
                <w:b/>
                <w:i w:val="0"/>
                <w:sz w:val="21"/>
              </w:rPr>
              <w:t>Acordeón: Los tres elementos</w:t>
            </w:r>
          </w:p>
          <w:p>
            <w:pPr>
              <w:spacing w:after="40"/>
            </w:pPr>
            <w:r>
              <w:rPr>
                <w:b/>
                <w:i w:val="0"/>
                <w:sz w:val="21"/>
              </w:rPr>
              <w:t xml:space="preserve">Ítem: </w:t>
            </w:r>
            <w:r>
              <w:rPr>
                <w:b w:val="0"/>
                <w:i w:val="0"/>
                <w:sz w:val="21"/>
              </w:rPr>
              <w:t>El criterio explícito, no implícito — Quien te escucha necesita saber contra qué estás evaluando. Un criterio implícito es un criterio que quien decide no puede usar.</w:t>
            </w:r>
          </w:p>
          <w:p>
            <w:pPr>
              <w:spacing w:after="40"/>
            </w:pPr>
            <w:r>
              <w:rPr>
                <w:b/>
                <w:i w:val="0"/>
                <w:sz w:val="21"/>
              </w:rPr>
              <w:t xml:space="preserve">Ítem: </w:t>
            </w:r>
            <w:r>
              <w:rPr>
                <w:b w:val="0"/>
                <w:i w:val="0"/>
                <w:sz w:val="21"/>
              </w:rPr>
              <w:t>La incertidumbre declarada, en vez de esconderse — Decir «esto funciona mejor si X se mantiene estable» es más honesto y, en contra de la intuición, más persuasivo que aparentar una certeza que no se tiene.</w:t>
            </w:r>
          </w:p>
          <w:p>
            <w:pPr>
              <w:spacing w:after="40"/>
            </w:pPr>
            <w:r>
              <w:rPr>
                <w:b/>
                <w:i w:val="0"/>
                <w:sz w:val="21"/>
              </w:rPr>
              <w:t xml:space="preserve">Ítem: </w:t>
            </w:r>
            <w:r>
              <w:rPr>
                <w:b w:val="0"/>
                <w:i w:val="0"/>
                <w:sz w:val="21"/>
              </w:rPr>
              <w:t>El lenguaje de quien decide — Que la recomendación se exprese en el lenguaje de quien decide y no en el del análisis: hablar de impacto y de siguiente paso, no de metodología.</w:t>
            </w:r>
          </w:p>
        </w:tc>
      </w:tr>
    </w:tbl>
    <w:p>
      <w:pPr>
        <w:spacing w:after="80"/>
      </w:pPr>
    </w:p>
    <w:p>
      <w:r>
        <w:t>El contraste se ve en un ejemplo:</w:t>
      </w:r>
    </w:p>
    <w:tbl>
      <w:tblPr>
        <w:tblW w:type="auto" w:w="0"/>
        <w:jc w:val="left"/>
        <w:tblLook w:firstColumn="1" w:firstRow="1" w:lastColumn="0" w:lastRow="0" w:noHBand="0" w:noVBand="1" w:val="04A0"/>
      </w:tblPr>
      <w:tblGrid>
        <w:gridCol w:w="9518"/>
      </w:tblGrid>
      <w:tr>
        <w:tc>
          <w:tcPr>
            <w:tcW w:type="dxa" w:w="9518"/>
            <w:shd w:fill="EFECF7"/>
            <w:tcBorders>
              <w:left w:val="single" w:sz="30" w:color="503B96"/>
              <w:top w:val="single" w:sz="6" w:color="EFECF7"/>
              <w:bottom w:val="single" w:sz="6" w:color="EFECF7"/>
              <w:right w:val="single" w:sz="6" w:color="EFECF7"/>
            </w:tcBorders>
            <w:tcMar>
              <w:top w:w="100" w:type="dxa"/>
              <w:bottom w:w="100" w:type="dxa"/>
              <w:left w:w="160" w:type="dxa"/>
              <w:right w:w="160" w:type="dxa"/>
            </w:tcMar>
          </w:tcPr>
          <w:p>
            <w:pPr>
              <w:spacing w:after="80"/>
            </w:pPr>
            <w:r/>
            <w:r>
              <w:rPr>
                <w:b/>
                <w:color w:val="503B96"/>
                <w:sz w:val="16"/>
                <w:spacing w:val="30"/>
              </w:rPr>
              <w:t>COMPONENTE</w:t>
            </w:r>
          </w:p>
          <w:p>
            <w:pPr>
              <w:spacing w:after="40"/>
            </w:pPr>
            <w:r>
              <w:rPr>
                <w:b/>
                <w:i w:val="0"/>
                <w:sz w:val="21"/>
              </w:rPr>
              <w:t>Comparativo: Dos formas de decir lo mismo</w:t>
            </w:r>
          </w:p>
          <w:p>
            <w:pPr>
              <w:spacing w:after="40"/>
            </w:pPr>
            <w:r>
              <w:rPr>
                <w:b/>
                <w:i w:val="0"/>
                <w:sz w:val="21"/>
              </w:rPr>
              <w:t xml:space="preserve">Lenguaje del análisis: </w:t>
            </w:r>
            <w:r>
              <w:rPr>
                <w:b w:val="0"/>
                <w:i w:val="0"/>
                <w:sz w:val="21"/>
              </w:rPr>
              <w:t>«El modelo predictivo sugiere una probabilidad de 63 % de mejora en retención».</w:t>
            </w:r>
          </w:p>
          <w:p>
            <w:pPr>
              <w:spacing w:after="40"/>
            </w:pPr>
            <w:r>
              <w:rPr>
                <w:b/>
                <w:i w:val="0"/>
                <w:sz w:val="21"/>
              </w:rPr>
              <w:t xml:space="preserve">Lenguaje de quien decide: </w:t>
            </w:r>
            <w:r>
              <w:rPr>
                <w:b w:val="0"/>
                <w:i w:val="0"/>
                <w:sz w:val="21"/>
              </w:rPr>
              <w:t>«Con los datos que tenemos, es más probable que esto funcione que que no funcione, y el riesgo si no funciona es bajo».</w:t>
            </w:r>
          </w:p>
        </w:tc>
      </w:tr>
    </w:tbl>
    <w:p>
      <w:pPr>
        <w:spacing w:after="80"/>
      </w:pPr>
    </w:p>
    <w:p>
      <w:r>
        <w:t>Las dos frases dicen lo mismo, pero la segunda está en el idioma de quien tiene que decidir, no en el de quien tiene que auditar el modelo.</w:t>
      </w:r>
    </w:p>
    <w:tbl>
      <w:tblPr>
        <w:tblW w:type="auto" w:w="0"/>
        <w:jc w:val="left"/>
        <w:tblLook w:firstColumn="1" w:firstRow="1" w:lastColumn="0" w:lastRow="0" w:noHBand="0" w:noVBand="1" w:val="04A0"/>
      </w:tblPr>
      <w:tblGrid>
        <w:gridCol w:w="9518"/>
      </w:tblGrid>
      <w:tr>
        <w:tc>
          <w:tcPr>
            <w:tcW w:type="dxa" w:w="9518"/>
            <w:shd w:fill="EFECF7"/>
            <w:tcBorders>
              <w:left w:val="single" w:sz="30" w:color="503B96"/>
              <w:top w:val="single" w:sz="6" w:color="EFECF7"/>
              <w:bottom w:val="single" w:sz="6" w:color="EFECF7"/>
              <w:right w:val="single" w:sz="6" w:color="EFECF7"/>
            </w:tcBorders>
            <w:tcMar>
              <w:top w:w="100" w:type="dxa"/>
              <w:bottom w:w="100" w:type="dxa"/>
              <w:left w:w="160" w:type="dxa"/>
              <w:right w:w="160" w:type="dxa"/>
            </w:tcMar>
          </w:tcPr>
          <w:p>
            <w:pPr>
              <w:spacing w:after="80"/>
            </w:pPr>
            <w:r/>
            <w:r>
              <w:rPr>
                <w:b/>
                <w:color w:val="503B96"/>
                <w:sz w:val="16"/>
                <w:spacing w:val="30"/>
              </w:rPr>
              <w:t>COMPONENTE</w:t>
            </w:r>
          </w:p>
          <w:p>
            <w:pPr>
              <w:spacing w:after="40"/>
            </w:pPr>
            <w:r>
              <w:rPr>
                <w:b/>
                <w:i w:val="0"/>
                <w:sz w:val="21"/>
              </w:rPr>
              <w:t>Dato curioso en cifras: Declarar la incertidumbre no cuesta confianza</w:t>
            </w:r>
          </w:p>
          <w:p>
            <w:pPr>
              <w:spacing w:after="40"/>
            </w:pPr>
            <w:r>
              <w:rPr>
                <w:b/>
                <w:i w:val="0"/>
                <w:sz w:val="21"/>
              </w:rPr>
              <w:t xml:space="preserve">Cifra: </w:t>
            </w:r>
            <w:r>
              <w:rPr>
                <w:b w:val="0"/>
                <w:i w:val="0"/>
                <w:sz w:val="21"/>
              </w:rPr>
              <w:t>10.519 participantes</w:t>
            </w:r>
          </w:p>
          <w:p>
            <w:pPr>
              <w:spacing w:after="40"/>
            </w:pPr>
            <w:r>
              <w:rPr>
                <w:b/>
                <w:i w:val="0"/>
                <w:sz w:val="21"/>
              </w:rPr>
              <w:t xml:space="preserve">Rótulo: </w:t>
            </w:r>
            <w:r>
              <w:rPr>
                <w:b w:val="0"/>
                <w:i w:val="0"/>
                <w:sz w:val="21"/>
              </w:rPr>
              <w:t>en un estudio internacional sobre comunicar la incertidumbre</w:t>
            </w:r>
          </w:p>
          <w:p>
            <w:pPr>
              <w:spacing w:after="40"/>
            </w:pPr>
            <w:r>
              <w:rPr>
                <w:b/>
                <w:i w:val="0"/>
                <w:sz w:val="21"/>
              </w:rPr>
              <w:t xml:space="preserve">Texto: </w:t>
            </w:r>
            <w:r>
              <w:rPr>
                <w:b w:val="0"/>
                <w:i w:val="0"/>
                <w:sz w:val="21"/>
              </w:rPr>
              <w:t>Un estudio internacional con 10.519 participantes encontró que expresar la incertidumbre estadística mediante un rango numérico podía reducir ligeramente la confianza en la cifra, pero no reducía la confianza en la fuente. La evidencia respalda comunicar la incertidumbre de forma explícita.</w:t>
            </w:r>
          </w:p>
          <w:p>
            <w:pPr>
              <w:spacing w:after="40"/>
            </w:pPr>
            <w:r>
              <w:rPr>
                <w:b/>
                <w:i w:val="0"/>
                <w:sz w:val="21"/>
              </w:rPr>
              <w:t xml:space="preserve">Fuente: </w:t>
            </w:r>
            <w:r>
              <w:rPr>
                <w:b w:val="0"/>
                <w:i w:val="0"/>
                <w:sz w:val="21"/>
              </w:rPr>
              <w:t>Kerr, J., van der Bles, A.-M., Dryhurst, S., Schneider, C. R., Chopurian, V., Freeman, A. L. J. y van der Linden, S. (2023). Royal Society Open Science, 10(11), 230604.</w:t>
            </w:r>
          </w:p>
        </w:tc>
      </w:tr>
    </w:tbl>
    <w:p>
      <w:pPr>
        <w:spacing w:after="80"/>
      </w:pPr>
    </w:p>
    <w:tbl>
      <w:tblPr>
        <w:tblW w:type="auto" w:w="0"/>
        <w:jc w:val="left"/>
        <w:tblLook w:firstColumn="1" w:firstRow="1" w:lastColumn="0" w:lastRow="0" w:noHBand="0" w:noVBand="1" w:val="04A0"/>
      </w:tblPr>
      <w:tblGrid>
        <w:gridCol w:w="9518"/>
      </w:tblGrid>
      <w:tr>
        <w:tc>
          <w:tcPr>
            <w:tcW w:type="dxa" w:w="9518"/>
            <w:shd w:fill="EFECF7"/>
            <w:tcBorders>
              <w:left w:val="single" w:sz="30" w:color="503B96"/>
              <w:top w:val="single" w:sz="6" w:color="EFECF7"/>
              <w:bottom w:val="single" w:sz="6" w:color="EFECF7"/>
              <w:right w:val="single" w:sz="6" w:color="EFECF7"/>
            </w:tcBorders>
            <w:tcMar>
              <w:top w:w="100" w:type="dxa"/>
              <w:bottom w:w="100" w:type="dxa"/>
              <w:left w:w="160" w:type="dxa"/>
              <w:right w:w="160" w:type="dxa"/>
            </w:tcMar>
          </w:tcPr>
          <w:p>
            <w:pPr>
              <w:spacing w:after="80"/>
            </w:pPr>
            <w:r/>
            <w:r>
              <w:rPr>
                <w:b/>
                <w:color w:val="503B96"/>
                <w:sz w:val="16"/>
                <w:spacing w:val="30"/>
              </w:rPr>
              <w:t>COMPONENTE</w:t>
            </w:r>
          </w:p>
          <w:p>
            <w:pPr>
              <w:spacing w:after="40"/>
            </w:pPr>
            <w:r>
              <w:rPr>
                <w:b/>
                <w:i w:val="0"/>
                <w:sz w:val="21"/>
              </w:rPr>
              <w:t>Comparativo: El error y el criterio</w:t>
            </w:r>
          </w:p>
          <w:p>
            <w:pPr>
              <w:spacing w:after="40"/>
            </w:pPr>
            <w:r>
              <w:rPr>
                <w:b/>
                <w:i w:val="0"/>
                <w:sz w:val="21"/>
              </w:rPr>
              <w:t xml:space="preserve">Error frecuente: </w:t>
            </w:r>
            <w:r>
              <w:rPr>
                <w:b w:val="0"/>
                <w:i w:val="0"/>
                <w:sz w:val="21"/>
              </w:rPr>
              <w:t>Presentar la recomendación con el vocabulario del análisis, de modo que quien decide entiende el método pero no el impacto ni el siguiente paso.</w:t>
            </w:r>
          </w:p>
          <w:p>
            <w:pPr>
              <w:spacing w:after="40"/>
            </w:pPr>
            <w:r>
              <w:rPr>
                <w:b/>
                <w:i w:val="0"/>
                <w:sz w:val="21"/>
              </w:rPr>
              <w:t xml:space="preserve">Criterio de aceptación: </w:t>
            </w:r>
            <w:r>
              <w:rPr>
                <w:b w:val="0"/>
                <w:i w:val="0"/>
                <w:sz w:val="21"/>
              </w:rPr>
              <w:t>La recomendación debe poder leerse en voz alta a quien aprueba y quedar clara sin explicación adicional, declarando qué se propone, con qué grado de certeza y qué hacer a continuación.</w:t>
            </w:r>
          </w:p>
        </w:tc>
      </w:tr>
    </w:tbl>
    <w:p>
      <w:pPr>
        <w:spacing w:after="80"/>
      </w:pPr>
    </w:p>
    <w:tbl>
      <w:tblPr>
        <w:tblW w:type="auto" w:w="0"/>
        <w:jc w:val="left"/>
        <w:tblLook w:firstColumn="1" w:firstRow="1" w:lastColumn="0" w:lastRow="0" w:noHBand="0" w:noVBand="1" w:val="04A0"/>
      </w:tblPr>
      <w:tblGrid>
        <w:gridCol w:w="9518"/>
      </w:tblGrid>
      <w:tr>
        <w:tc>
          <w:tcPr>
            <w:tcW w:type="dxa" w:w="9518"/>
            <w:shd w:fill="EFECF7"/>
            <w:tcBorders>
              <w:left w:val="single" w:sz="30" w:color="503B96"/>
              <w:top w:val="single" w:sz="6" w:color="EFECF7"/>
              <w:bottom w:val="single" w:sz="6" w:color="EFECF7"/>
              <w:right w:val="single" w:sz="6" w:color="EFECF7"/>
            </w:tcBorders>
            <w:tcMar>
              <w:top w:w="100" w:type="dxa"/>
              <w:bottom w:w="100" w:type="dxa"/>
              <w:left w:w="160" w:type="dxa"/>
              <w:right w:w="160" w:type="dxa"/>
            </w:tcMar>
          </w:tcPr>
          <w:p>
            <w:pPr>
              <w:spacing w:after="80"/>
            </w:pPr>
            <w:r/>
            <w:r>
              <w:rPr>
                <w:b/>
                <w:color w:val="503B96"/>
                <w:sz w:val="16"/>
                <w:spacing w:val="30"/>
              </w:rPr>
              <w:t>COMPONENTE</w:t>
            </w:r>
          </w:p>
          <w:p>
            <w:pPr>
              <w:spacing w:after="40"/>
            </w:pPr>
            <w:r>
              <w:rPr>
                <w:b/>
                <w:i w:val="0"/>
                <w:sz w:val="21"/>
              </w:rPr>
              <w:t>Bloque destacado: Cómo expresar la incertidumbre</w:t>
            </w:r>
          </w:p>
          <w:p>
            <w:pPr>
              <w:spacing w:after="40"/>
            </w:pPr>
            <w:r>
              <w:rPr>
                <w:b/>
                <w:i w:val="0"/>
                <w:sz w:val="21"/>
              </w:rPr>
              <w:t xml:space="preserve">Etiqueta: </w:t>
            </w:r>
            <w:r>
              <w:rPr>
                <w:b w:val="0"/>
                <w:i w:val="0"/>
                <w:sz w:val="21"/>
              </w:rPr>
              <w:t>Clave de aplicación</w:t>
            </w:r>
          </w:p>
          <w:p>
            <w:pPr>
              <w:spacing w:after="40"/>
            </w:pPr>
            <w:r>
              <w:rPr>
                <w:b/>
                <w:i w:val="0"/>
                <w:sz w:val="21"/>
              </w:rPr>
              <w:t xml:space="preserve">Texto: </w:t>
            </w:r>
            <w:r>
              <w:rPr>
                <w:b w:val="0"/>
                <w:i w:val="0"/>
                <w:sz w:val="21"/>
              </w:rPr>
              <w:t>Cuando exista incertidumbre cuantificable, exprésela con un rango, una condición o un escenario y vincúlela con el siguiente paso. Decir solamente «no estamos seguros» informa menos y puede debilitar la confianza.</w:t>
            </w:r>
          </w:p>
        </w:tc>
      </w:tr>
    </w:tbl>
    <w:p>
      <w:pPr>
        <w:spacing w:after="80"/>
      </w:pPr>
    </w:p>
    <w:p>
      <w:pPr>
        <w:pStyle w:val="Heading2"/>
      </w:pPr>
      <w:r>
        <w:t>4.2 Llevar el criterio a otro contexto</w:t>
      </w:r>
    </w:p>
    <w:p>
      <w:r>
        <w:t>Llevar el criterio y el hábito de auditoría a un contexto distinto del que se aprendió es lo que la teoría del aprendizaje denomina transferencia, y no ocurre de forma automática.</w:t>
      </w:r>
    </w:p>
    <w:tbl>
      <w:tblPr>
        <w:tblW w:type="auto" w:w="0"/>
        <w:jc w:val="left"/>
        <w:tblLook w:firstColumn="1" w:firstRow="1" w:lastColumn="0" w:lastRow="0" w:noHBand="0" w:noVBand="1" w:val="04A0"/>
      </w:tblPr>
      <w:tblGrid>
        <w:gridCol w:w="9518"/>
      </w:tblGrid>
      <w:tr>
        <w:tc>
          <w:tcPr>
            <w:tcW w:type="dxa" w:w="9518"/>
            <w:shd w:fill="EFECF7"/>
            <w:tcBorders>
              <w:left w:val="single" w:sz="30" w:color="503B96"/>
              <w:top w:val="single" w:sz="6" w:color="EFECF7"/>
              <w:bottom w:val="single" w:sz="6" w:color="EFECF7"/>
              <w:right w:val="single" w:sz="6" w:color="EFECF7"/>
            </w:tcBorders>
            <w:tcMar>
              <w:top w:w="100" w:type="dxa"/>
              <w:bottom w:w="100" w:type="dxa"/>
              <w:left w:w="160" w:type="dxa"/>
              <w:right w:w="160" w:type="dxa"/>
            </w:tcMar>
          </w:tcPr>
          <w:p>
            <w:pPr>
              <w:spacing w:after="80"/>
            </w:pPr>
            <w:r/>
            <w:r>
              <w:rPr>
                <w:b/>
                <w:color w:val="503B96"/>
                <w:sz w:val="16"/>
                <w:spacing w:val="30"/>
              </w:rPr>
              <w:t>COMPONENTE</w:t>
            </w:r>
          </w:p>
          <w:p>
            <w:pPr>
              <w:spacing w:after="40"/>
            </w:pPr>
            <w:r>
              <w:rPr>
                <w:b/>
                <w:i w:val="0"/>
                <w:sz w:val="21"/>
              </w:rPr>
              <w:t>Comparativo: La transferencia</w:t>
            </w:r>
          </w:p>
          <w:p>
            <w:pPr>
              <w:spacing w:after="40"/>
            </w:pPr>
            <w:r>
              <w:rPr>
                <w:b/>
                <w:i w:val="0"/>
                <w:sz w:val="21"/>
              </w:rPr>
              <w:t xml:space="preserve">Aplique: </w:t>
            </w:r>
            <w:r>
              <w:rPr>
                <w:b w:val="0"/>
                <w:i w:val="0"/>
                <w:sz w:val="21"/>
              </w:rPr>
              <w:t>Nombrar explícitamente qué se mantiene y qué cambia al pasar de un caso a otro.</w:t>
            </w:r>
          </w:p>
          <w:p>
            <w:pPr>
              <w:spacing w:after="40"/>
            </w:pPr>
            <w:r>
              <w:rPr>
                <w:b/>
                <w:i w:val="0"/>
                <w:sz w:val="21"/>
              </w:rPr>
              <w:t xml:space="preserve">No aplique: </w:t>
            </w:r>
            <w:r>
              <w:rPr>
                <w:b w:val="0"/>
                <w:i w:val="0"/>
                <w:sz w:val="21"/>
              </w:rPr>
              <w:t>Suponer que quien resolvió bien el caso de la campaña sabrá resolver por sí solo uno de logística o de talento humano.</w:t>
            </w:r>
          </w:p>
        </w:tc>
      </w:tr>
    </w:tbl>
    <w:p>
      <w:pPr>
        <w:spacing w:after="80"/>
      </w:pPr>
    </w:p>
    <w:tbl>
      <w:tblPr>
        <w:tblW w:type="auto" w:w="0"/>
        <w:jc w:val="left"/>
        <w:tblLook w:firstColumn="1" w:firstRow="1" w:lastColumn="0" w:lastRow="0" w:noHBand="0" w:noVBand="1" w:val="04A0"/>
      </w:tblPr>
      <w:tblGrid>
        <w:gridCol w:w="9518"/>
      </w:tblGrid>
      <w:tr>
        <w:tc>
          <w:tcPr>
            <w:tcW w:type="dxa" w:w="9518"/>
            <w:shd w:fill="FDF4DE"/>
            <w:tcBorders>
              <w:left w:val="single" w:sz="30" w:color="C08A00"/>
              <w:top w:val="single" w:sz="6" w:color="FDF4DE"/>
              <w:bottom w:val="single" w:sz="6" w:color="FDF4DE"/>
              <w:right w:val="single" w:sz="6" w:color="FDF4DE"/>
            </w:tcBorders>
            <w:tcMar>
              <w:top w:w="100" w:type="dxa"/>
              <w:bottom w:w="100" w:type="dxa"/>
              <w:left w:w="160" w:type="dxa"/>
              <w:right w:w="160" w:type="dxa"/>
            </w:tcMar>
          </w:tcPr>
          <w:p>
            <w:pPr>
              <w:spacing w:after="80"/>
            </w:pPr>
            <w:r/>
            <w:r>
              <w:rPr>
                <w:b/>
                <w:color w:val="8A6100"/>
                <w:sz w:val="16"/>
                <w:spacing w:val="30"/>
              </w:rPr>
              <w:t>PARA DISEÑO GRÁFICO · NO ES CONTENIDO</w:t>
            </w:r>
          </w:p>
          <w:p>
            <w:pPr>
              <w:spacing w:after="40"/>
            </w:pPr>
            <w:r>
              <w:rPr>
                <w:b/>
                <w:i w:val="0"/>
                <w:sz w:val="21"/>
              </w:rPr>
              <w:t>Figura 1</w:t>
            </w:r>
          </w:p>
          <w:p>
            <w:pPr>
              <w:spacing w:after="40"/>
            </w:pPr>
            <w:r>
              <w:rPr>
                <w:b/>
                <w:i w:val="0"/>
                <w:sz w:val="21"/>
              </w:rPr>
              <w:t xml:space="preserve">Leyenda: </w:t>
            </w:r>
            <w:r>
              <w:rPr>
                <w:b w:val="0"/>
                <w:i w:val="0"/>
                <w:sz w:val="21"/>
              </w:rPr>
              <w:t>Figura 1. Lo que se mantiene y lo que cambia al cambiar de caso</w:t>
            </w:r>
          </w:p>
          <w:p>
            <w:pPr>
              <w:spacing w:after="40"/>
            </w:pPr>
            <w:r>
              <w:rPr>
                <w:b w:val="0"/>
                <w:i w:val="0"/>
                <w:sz w:val="21"/>
              </w:rPr>
              <w:t>Dos escenas unidas por una flecha: a la izquierda, el caso de la campaña; a la derecha, uno de logística. Debajo de la flecha, dos filas: «se mantiene: el criterio y la auditoría» y «cambia: los datos y las fuentes». Sin más texto dentro.</w:t>
            </w:r>
          </w:p>
        </w:tc>
      </w:tr>
    </w:tbl>
    <w:p>
      <w:pPr>
        <w:spacing w:after="80"/>
      </w:pPr>
    </w:p>
    <w:tbl>
      <w:tblPr>
        <w:tblW w:type="auto" w:w="0"/>
        <w:jc w:val="left"/>
        <w:tblLook w:firstColumn="1" w:firstRow="1" w:lastColumn="0" w:lastRow="0" w:noHBand="0" w:noVBand="1" w:val="04A0"/>
      </w:tblPr>
      <w:tblGrid>
        <w:gridCol w:w="9518"/>
      </w:tblGrid>
      <w:tr>
        <w:tc>
          <w:tcPr>
            <w:tcW w:type="dxa" w:w="9518"/>
            <w:shd w:fill="F3F3F5"/>
            <w:tcBorders>
              <w:left w:val="single" w:sz="30" w:color="9A9EB0"/>
              <w:top w:val="single" w:sz="6" w:color="F3F3F5"/>
              <w:bottom w:val="single" w:sz="6" w:color="F3F3F5"/>
              <w:right w:val="single" w:sz="6" w:color="F3F3F5"/>
            </w:tcBorders>
            <w:tcMar>
              <w:top w:w="100" w:type="dxa"/>
              <w:bottom w:w="100" w:type="dxa"/>
              <w:left w:w="160" w:type="dxa"/>
              <w:right w:w="160" w:type="dxa"/>
            </w:tcMar>
          </w:tcPr>
          <w:p>
            <w:pPr>
              <w:spacing w:after="80"/>
            </w:pPr>
            <w:r/>
            <w:r>
              <w:rPr>
                <w:b/>
                <w:color w:val="5C6280"/>
                <w:sz w:val="16"/>
                <w:spacing w:val="30"/>
              </w:rPr>
              <w:t>NOTA PARA PRODUCCIÓN · NO SALE EN EL CURSO</w:t>
            </w:r>
          </w:p>
          <w:p>
            <w:pPr>
              <w:spacing w:after="40"/>
            </w:pPr>
            <w:r>
              <w:rPr>
                <w:b w:val="0"/>
                <w:i w:val="0"/>
                <w:sz w:val="21"/>
              </w:rPr>
              <w:t>Esta figura es opcional: si no alcanza el tiempo del diseñador, el comparativo de arriba se sostiene solo.</w:t>
            </w:r>
          </w:p>
        </w:tc>
      </w:tr>
    </w:tbl>
    <w:p>
      <w:pPr>
        <w:spacing w:after="80"/>
      </w:pPr>
    </w:p>
    <w:tbl>
      <w:tblPr>
        <w:tblW w:type="auto" w:w="0"/>
        <w:jc w:val="left"/>
        <w:tblLook w:firstColumn="1" w:firstRow="1" w:lastColumn="0" w:lastRow="0" w:noHBand="0" w:noVBand="1" w:val="04A0"/>
      </w:tblPr>
      <w:tblGrid>
        <w:gridCol w:w="9518"/>
      </w:tblGrid>
      <w:tr>
        <w:tc>
          <w:tcPr>
            <w:tcW w:type="dxa" w:w="9518"/>
            <w:shd w:fill="EFECF7"/>
            <w:tcBorders>
              <w:left w:val="single" w:sz="30" w:color="503B96"/>
              <w:top w:val="single" w:sz="6" w:color="EFECF7"/>
              <w:bottom w:val="single" w:sz="6" w:color="EFECF7"/>
              <w:right w:val="single" w:sz="6" w:color="EFECF7"/>
            </w:tcBorders>
            <w:tcMar>
              <w:top w:w="100" w:type="dxa"/>
              <w:bottom w:w="100" w:type="dxa"/>
              <w:left w:w="160" w:type="dxa"/>
              <w:right w:w="160" w:type="dxa"/>
            </w:tcMar>
          </w:tcPr>
          <w:p>
            <w:pPr>
              <w:spacing w:after="80"/>
            </w:pPr>
            <w:r/>
            <w:r>
              <w:rPr>
                <w:b/>
                <w:color w:val="503B96"/>
                <w:sz w:val="16"/>
                <w:spacing w:val="30"/>
              </w:rPr>
              <w:t>COMPONENTE</w:t>
            </w:r>
          </w:p>
          <w:p>
            <w:pPr>
              <w:spacing w:after="40"/>
            </w:pPr>
            <w:r>
              <w:rPr>
                <w:b/>
                <w:i w:val="0"/>
                <w:sz w:val="21"/>
              </w:rPr>
              <w:t>Bloque destacado: Para reflexionar</w:t>
            </w:r>
          </w:p>
          <w:p>
            <w:pPr>
              <w:spacing w:after="40"/>
            </w:pPr>
            <w:r>
              <w:rPr>
                <w:b/>
                <w:i w:val="0"/>
                <w:sz w:val="21"/>
              </w:rPr>
              <w:t xml:space="preserve">Etiqueta: </w:t>
            </w:r>
            <w:r>
              <w:rPr>
                <w:b w:val="0"/>
                <w:i w:val="0"/>
                <w:sz w:val="21"/>
              </w:rPr>
              <w:t>Para reflexionar</w:t>
            </w:r>
          </w:p>
          <w:p>
            <w:pPr>
              <w:spacing w:after="40"/>
            </w:pPr>
            <w:r>
              <w:rPr>
                <w:b/>
                <w:i w:val="0"/>
                <w:sz w:val="21"/>
              </w:rPr>
              <w:t xml:space="preserve">Texto: </w:t>
            </w:r>
            <w:r>
              <w:rPr>
                <w:b w:val="0"/>
                <w:i w:val="0"/>
                <w:sz w:val="21"/>
              </w:rPr>
              <w:t>Piensa en la última recomendación que presentaste en tu trabajo. ¿La persona que te escuchó entendió el nivel de certeza real que tenías, o quedó con la impresión de que estabas más seguro de lo que en verdad estabas?</w:t>
            </w:r>
          </w:p>
        </w:tc>
      </w:tr>
    </w:tbl>
    <w:p>
      <w:pPr>
        <w:spacing w:after="80"/>
      </w:pPr>
    </w:p>
    <w:p>
      <w:pPr>
        <w:pStyle w:val="Heading1"/>
      </w:pPr>
      <w:r>
        <w:t>Conclusión</w:t>
      </w:r>
    </w:p>
    <w:p>
      <w:r>
        <w:t>En síntesis, esta unidad desarrolla la parte del criterio profesional que la IA no puede sustituir: juzgar la confiabilidad de un resultado y comunicar una decisión de la que alguien deberá responder. Auditar con la técnica de las tres fuentes y de forma proporcional al riesgo, y comunicar declarando la incertidumbre, son las conductas que la rúbrica del reto evalúa y que el resultado de aprendizaje de la unidad busca instalar. La investigación en factores humanos, en modelos de lenguaje y en comunicación de la incertidumbre respalda por qué estas conductas —y no la confianza automática— protegen la calidad de la decisión.</w:t>
      </w:r>
    </w:p>
    <w:p>
      <w:r>
        <w:t>La idea de fondo es la misma en toda decisión apoyada en IA: la herramienta puede ayudarte a explorar y a redactar, pero la responsabilidad de decidir bien —y de responder por esa decisión— sigue siendo humana. Con los resultados auditados y la recomendación bien comunicada, estás en condiciones de resolver el reto de esta unidad.</w:t>
      </w:r>
    </w:p>
    <w:tbl>
      <w:tblPr>
        <w:tblW w:type="auto" w:w="0"/>
        <w:jc w:val="left"/>
        <w:tblLook w:firstColumn="1" w:firstRow="1" w:lastColumn="0" w:lastRow="0" w:noHBand="0" w:noVBand="1" w:val="04A0"/>
      </w:tblPr>
      <w:tblGrid>
        <w:gridCol w:w="9518"/>
      </w:tblGrid>
      <w:tr>
        <w:tc>
          <w:tcPr>
            <w:tcW w:type="dxa" w:w="9518"/>
            <w:shd w:fill="EFECF7"/>
            <w:tcBorders>
              <w:left w:val="single" w:sz="30" w:color="503B96"/>
              <w:top w:val="single" w:sz="6" w:color="EFECF7"/>
              <w:bottom w:val="single" w:sz="6" w:color="EFECF7"/>
              <w:right w:val="single" w:sz="6" w:color="EFECF7"/>
            </w:tcBorders>
            <w:tcMar>
              <w:top w:w="100" w:type="dxa"/>
              <w:bottom w:w="100" w:type="dxa"/>
              <w:left w:w="160" w:type="dxa"/>
              <w:right w:w="160" w:type="dxa"/>
            </w:tcMar>
          </w:tcPr>
          <w:p>
            <w:pPr>
              <w:spacing w:after="80"/>
            </w:pPr>
            <w:r/>
            <w:r>
              <w:rPr>
                <w:b/>
                <w:color w:val="503B96"/>
                <w:sz w:val="16"/>
                <w:spacing w:val="30"/>
              </w:rPr>
              <w:t>COMPONENTE</w:t>
            </w:r>
          </w:p>
          <w:p>
            <w:pPr>
              <w:spacing w:after="40"/>
            </w:pPr>
            <w:r>
              <w:rPr>
                <w:b/>
                <w:i w:val="0"/>
                <w:sz w:val="21"/>
              </w:rPr>
              <w:t>Frase para destacar</w:t>
            </w:r>
          </w:p>
          <w:p>
            <w:pPr>
              <w:spacing w:after="40"/>
            </w:pPr>
            <w:r>
              <w:rPr>
                <w:b/>
                <w:i w:val="0"/>
                <w:sz w:val="21"/>
              </w:rPr>
              <w:t xml:space="preserve">Frase: </w:t>
            </w:r>
            <w:r>
              <w:rPr>
                <w:b w:val="0"/>
                <w:i w:val="0"/>
                <w:sz w:val="21"/>
              </w:rPr>
              <w:t>Auditar con la técnica de las tres fuentes, de forma proporcional al riesgo, y comunicar declarando la incertidumbre: eso es lo que convierte un análisis en una decisión que alguien puede respaldar.</w:t>
            </w:r>
          </w:p>
        </w:tc>
      </w:tr>
    </w:tbl>
    <w:p>
      <w:pPr>
        <w:spacing w:after="80"/>
      </w:pPr>
    </w:p>
    <w:tbl>
      <w:tblPr>
        <w:tblW w:type="auto" w:w="0"/>
        <w:jc w:val="left"/>
        <w:tblLook w:firstColumn="1" w:firstRow="1" w:lastColumn="0" w:lastRow="0" w:noHBand="0" w:noVBand="1" w:val="04A0"/>
      </w:tblPr>
      <w:tblGrid>
        <w:gridCol w:w="9518"/>
      </w:tblGrid>
      <w:tr>
        <w:tc>
          <w:tcPr>
            <w:tcW w:type="dxa" w:w="9518"/>
            <w:shd w:fill="EFECF7"/>
            <w:tcBorders>
              <w:left w:val="single" w:sz="30" w:color="503B96"/>
              <w:top w:val="single" w:sz="6" w:color="EFECF7"/>
              <w:bottom w:val="single" w:sz="6" w:color="EFECF7"/>
              <w:right w:val="single" w:sz="6" w:color="EFECF7"/>
            </w:tcBorders>
            <w:tcMar>
              <w:top w:w="100" w:type="dxa"/>
              <w:bottom w:w="100" w:type="dxa"/>
              <w:left w:w="160" w:type="dxa"/>
              <w:right w:w="160" w:type="dxa"/>
            </w:tcMar>
          </w:tcPr>
          <w:p>
            <w:pPr>
              <w:spacing w:after="80"/>
            </w:pPr>
            <w:r/>
            <w:r>
              <w:rPr>
                <w:b/>
                <w:color w:val="503B96"/>
                <w:sz w:val="16"/>
                <w:spacing w:val="30"/>
              </w:rPr>
              <w:t>COMPONENTE</w:t>
            </w:r>
          </w:p>
          <w:p>
            <w:pPr>
              <w:spacing w:after="40"/>
            </w:pPr>
            <w:r>
              <w:rPr>
                <w:b/>
                <w:i w:val="0"/>
                <w:sz w:val="21"/>
              </w:rPr>
              <w:t>Pódcast: Conversaciones sobre decidir</w:t>
            </w:r>
          </w:p>
          <w:p>
            <w:pPr>
              <w:spacing w:after="40"/>
            </w:pPr>
            <w:r>
              <w:rPr>
                <w:b/>
                <w:i w:val="0"/>
                <w:sz w:val="21"/>
              </w:rPr>
              <w:t xml:space="preserve">Archivo: </w:t>
            </w:r>
            <w:r>
              <w:rPr>
                <w:b w:val="0"/>
                <w:i w:val="0"/>
                <w:sz w:val="21"/>
              </w:rPr>
              <w:t>media/podcast_unidad.mp3</w:t>
            </w:r>
          </w:p>
          <w:p>
            <w:pPr>
              <w:spacing w:after="40"/>
            </w:pPr>
            <w:r>
              <w:rPr>
                <w:b/>
                <w:i w:val="0"/>
                <w:sz w:val="21"/>
              </w:rPr>
              <w:t xml:space="preserve">Duración: </w:t>
            </w:r>
            <w:r>
              <w:rPr>
                <w:b w:val="0"/>
                <w:i w:val="0"/>
                <w:color w:val="6E738C"/>
                <w:sz w:val="21"/>
              </w:rPr>
              <w:t>[la real del archivo]</w:t>
            </w:r>
          </w:p>
          <w:p>
            <w:pPr>
              <w:spacing w:after="40"/>
            </w:pPr>
            <w:r>
              <w:rPr>
                <w:b/>
                <w:i w:val="0"/>
                <w:sz w:val="21"/>
              </w:rPr>
              <w:t xml:space="preserve">Invitado: </w:t>
            </w:r>
            <w:r>
              <w:rPr>
                <w:b w:val="0"/>
                <w:i w:val="0"/>
                <w:sz w:val="21"/>
              </w:rPr>
              <w:t>—</w:t>
            </w:r>
          </w:p>
        </w:tc>
      </w:tr>
    </w:tbl>
    <w:p>
      <w:pPr>
        <w:spacing w:after="80"/>
      </w:pPr>
    </w:p>
    <w:p>
      <w:pPr>
        <w:pStyle w:val="Heading1"/>
      </w:pPr>
      <w:r>
        <w:t>Referencias</w:t>
      </w:r>
    </w:p>
    <w:p>
      <w:pPr>
        <w:pStyle w:val="ListBullet"/>
        <w:spacing w:after="80"/>
      </w:pPr>
      <w:r>
        <w:rPr>
          <w:b w:val="0"/>
          <w:i w:val="0"/>
          <w:sz w:val="21"/>
        </w:rPr>
        <w:t>Ji, Z., Lee, N., Frieske, R., Yu, T., Su, D., Xu, Y., Ishii, E., Bang, Y. J., Madotto, A., y Fung, P. (2023). Survey of hallucination in natural language generation. ACM Computing Surveys, 55(12), 1-38.</w:t>
      </w:r>
    </w:p>
    <w:p>
      <w:pPr>
        <w:pStyle w:val="ListBullet"/>
        <w:spacing w:after="80"/>
      </w:pPr>
      <w:r>
        <w:rPr>
          <w:b w:val="0"/>
          <w:i w:val="0"/>
          <w:sz w:val="21"/>
        </w:rPr>
        <w:t>Kahneman, D. (2011). Thinking, fast and slow. Farrar, Straus and Giroux.</w:t>
      </w:r>
    </w:p>
    <w:p>
      <w:pPr>
        <w:pStyle w:val="ListBullet"/>
        <w:spacing w:after="80"/>
      </w:pPr>
      <w:r>
        <w:rPr>
          <w:b w:val="0"/>
          <w:i w:val="0"/>
          <w:sz w:val="21"/>
        </w:rPr>
        <w:t>Kerr, J., van der Bles, A.-M., Dryhurst, S., Schneider, C. R., Chopurian, V., Freeman, A. L. J. y van der Linden, S. (2023). The effects of communicating uncertainty around statistics, on public trust. Royal Society Open Science, 10(11), 230604.</w:t>
      </w:r>
    </w:p>
    <w:p>
      <w:pPr>
        <w:pStyle w:val="ListBullet"/>
        <w:spacing w:after="80"/>
      </w:pPr>
      <w:r>
        <w:rPr>
          <w:b w:val="0"/>
          <w:i w:val="0"/>
          <w:sz w:val="21"/>
        </w:rPr>
        <w:t>Lyell, D., Magrabi, F., Raban, M. Z., Pont, L. G., Baysari, M. T., Day, R. O. y Coiera, E. (2017). Automation bias in electronic prescribing. BMC Medical Informatics and Decision Making, 17, 28.</w:t>
      </w:r>
    </w:p>
    <w:p>
      <w:pPr>
        <w:pStyle w:val="ListBullet"/>
        <w:spacing w:after="80"/>
      </w:pPr>
      <w:r>
        <w:rPr>
          <w:b w:val="0"/>
          <w:i w:val="0"/>
          <w:sz w:val="21"/>
        </w:rPr>
        <w:t>Nickerson, R. S. (1998). Confirmation bias: A ubiquitous phenomenon in many guises. Review of General Psychology, 2(2), 175-220.</w:t>
      </w:r>
    </w:p>
    <w:p>
      <w:pPr>
        <w:pStyle w:val="ListBullet"/>
        <w:spacing w:after="80"/>
      </w:pPr>
      <w:r>
        <w:rPr>
          <w:b w:val="0"/>
          <w:i w:val="0"/>
          <w:sz w:val="21"/>
        </w:rPr>
        <w:t>Parasuraman, R., y Riley, V. (1997). Humans and automation: Use, misuse, disuse, abuse. Human Factors, 39(2), 230-253.</w:t>
      </w:r>
    </w:p>
    <w:p>
      <w:pPr>
        <w:pStyle w:val="ListBullet"/>
        <w:spacing w:after="80"/>
      </w:pPr>
      <w:r>
        <w:rPr>
          <w:b w:val="0"/>
          <w:i w:val="0"/>
          <w:sz w:val="21"/>
        </w:rPr>
        <w:t>Perkins, D. N., y Salomon, G. (1992). Transfer of learning. En T. Husén y T. N. Postlethwaite (Eds.), International encyclopedia of education (2.ª ed.). Pergamon Press.</w:t>
      </w:r>
    </w:p>
    <w:p>
      <w:pPr>
        <w:pStyle w:val="ListBullet"/>
        <w:spacing w:after="80"/>
      </w:pPr>
      <w:r>
        <w:rPr>
          <w:b w:val="0"/>
          <w:i w:val="0"/>
          <w:sz w:val="21"/>
        </w:rPr>
        <w:t>Skitka, L. J., Mosier, K. L., y Burdick, M. (1999). Does automation bias decision-making? International Journal of Human-Computer Studies, 51(5), 991-1006.</w:t>
      </w:r>
    </w:p>
    <w:p>
      <w:pPr>
        <w:pStyle w:val="ListBullet"/>
        <w:spacing w:after="80"/>
      </w:pPr>
      <w:r>
        <w:rPr>
          <w:b w:val="0"/>
          <w:i w:val="0"/>
          <w:sz w:val="21"/>
        </w:rPr>
        <w:t>Spiegelhalter, D. (2017). Risk and uncertainty communication. Annual Review of Statistics and Its Application, 4, 31-60.</w:t>
      </w:r>
    </w:p>
    <w:p>
      <w:pPr>
        <w:pStyle w:val="ListBullet"/>
        <w:spacing w:after="80"/>
      </w:pPr>
      <w:r>
        <w:rPr>
          <w:b w:val="0"/>
          <w:i w:val="0"/>
          <w:sz w:val="21"/>
        </w:rPr>
        <w:t>van der Bles, A. M., van der Linden, S., Freeman, A. L. J., Mitchell, J., Galvão, A. B., Zaval, L., y Spiegelhalter, D. J. (2019). Communicating uncertainty about facts, numbers and science. Royal Society Open Science, 6(5), 181870.</w:t>
      </w:r>
    </w:p>
    <w:p>
      <w:r>
        <w:br w:type="page"/>
      </w:r>
    </w:p>
    <w:p>
      <w:pPr>
        <w:pStyle w:val="Heading1"/>
      </w:pPr>
      <w:r>
        <w:t>En qué se diferencia del documento que llegó</w:t>
      </w:r>
    </w:p>
    <w:p>
      <w:pPr>
        <w:spacing w:after="200"/>
      </w:pPr>
      <w:r>
        <w:rPr>
          <w:i/>
          <w:color w:val="6E738C"/>
          <w:sz w:val="19"/>
        </w:rPr>
        <w:t>Esta sección no va en una unidad nueva: es la comparación para quien escribe.</w:t>
      </w:r>
    </w:p>
    <w:tbl>
      <w:tblPr>
        <w:tblStyle w:val="TableGrid"/>
        <w:tblW w:type="auto" w:w="0"/>
        <w:jc w:val="left"/>
        <w:tblLook w:firstColumn="1" w:firstRow="1" w:lastColumn="0" w:lastRow="0" w:noHBand="0" w:noVBand="1" w:val="04A0"/>
      </w:tblPr>
      <w:tblGrid>
        <w:gridCol w:w="4759"/>
        <w:gridCol w:w="4759"/>
      </w:tblGrid>
      <w:tr>
        <w:tc>
          <w:tcPr>
            <w:tcW w:type="dxa" w:w="3969"/>
            <w:shd w:fill="EFECF7"/>
          </w:tcPr>
          <w:p>
            <w:r/>
            <w:r>
              <w:rPr>
                <w:b/>
                <w:color w:val="503B96"/>
                <w:sz w:val="16"/>
                <w:spacing w:val="30"/>
              </w:rPr>
              <w:t>LO QUE LLEGÓ</w:t>
            </w:r>
          </w:p>
        </w:tc>
        <w:tc>
          <w:tcPr>
            <w:tcW w:type="dxa" w:w="5329"/>
            <w:shd w:fill="EFECF7"/>
          </w:tcPr>
          <w:p>
            <w:r/>
            <w:r>
              <w:rPr>
                <w:b/>
                <w:color w:val="503B96"/>
                <w:sz w:val="16"/>
                <w:spacing w:val="30"/>
              </w:rPr>
              <w:t>LO QUE CONVIENE</w:t>
            </w:r>
          </w:p>
        </w:tc>
      </w:tr>
      <w:tr>
        <w:tc>
          <w:tcPr>
            <w:tcW w:type="dxa" w:w="3969"/>
          </w:tcPr>
          <w:p>
            <w:r/>
            <w:r>
              <w:rPr>
                <w:b w:val="0"/>
                <w:i w:val="0"/>
                <w:sz w:val="20"/>
              </w:rPr>
              <w:t>«Carrusel», «Acordeón», «Stepper» en una línea suelta, sin título</w:t>
            </w:r>
          </w:p>
        </w:tc>
        <w:tc>
          <w:tcPr>
            <w:tcW w:type="dxa" w:w="5329"/>
          </w:tcPr>
          <w:p>
            <w:r/>
            <w:r>
              <w:rPr>
                <w:b w:val="0"/>
                <w:i w:val="0"/>
                <w:sz w:val="20"/>
              </w:rPr>
              <w:t>Una caja violeta con el componente, su título y sus ítems como campos</w:t>
            </w:r>
          </w:p>
        </w:tc>
      </w:tr>
      <w:tr>
        <w:tc>
          <w:tcPr>
            <w:tcW w:type="dxa" w:w="3969"/>
          </w:tcPr>
          <w:p>
            <w:r/>
            <w:r>
              <w:rPr>
                <w:b w:val="0"/>
                <w:i w:val="0"/>
                <w:sz w:val="20"/>
              </w:rPr>
              <w:t>Los recuadros (Idea clave, Dato curioso) en tablas sueltas</w:t>
            </w:r>
          </w:p>
        </w:tc>
        <w:tc>
          <w:tcPr>
            <w:tcW w:type="dxa" w:w="5329"/>
          </w:tcPr>
          <w:p>
            <w:r/>
            <w:r>
              <w:rPr>
                <w:b w:val="0"/>
                <w:i w:val="0"/>
                <w:sz w:val="20"/>
              </w:rPr>
              <w:t>La misma caja violeta, con la etiqueta como campo</w:t>
            </w:r>
          </w:p>
        </w:tc>
      </w:tr>
      <w:tr>
        <w:tc>
          <w:tcPr>
            <w:tcW w:type="dxa" w:w="3969"/>
          </w:tcPr>
          <w:p>
            <w:r/>
            <w:r>
              <w:rPr>
                <w:b w:val="0"/>
                <w:i w:val="0"/>
                <w:sz w:val="20"/>
              </w:rPr>
              <w:t>La conclusión y el mensaje clave, dos veces</w:t>
            </w:r>
          </w:p>
        </w:tc>
        <w:tc>
          <w:tcPr>
            <w:tcW w:type="dxa" w:w="5329"/>
          </w:tcPr>
          <w:p>
            <w:r/>
            <w:r>
              <w:rPr>
                <w:b w:val="0"/>
                <w:i w:val="0"/>
                <w:sz w:val="20"/>
              </w:rPr>
              <w:t>Una sola vez: lo repetido obliga a decidir por ustedes</w:t>
            </w:r>
          </w:p>
        </w:tc>
      </w:tr>
      <w:tr>
        <w:tc>
          <w:tcPr>
            <w:tcW w:type="dxa" w:w="3969"/>
          </w:tcPr>
          <w:p>
            <w:r/>
            <w:r>
              <w:rPr>
                <w:b w:val="0"/>
                <w:i w:val="0"/>
                <w:sz w:val="20"/>
              </w:rPr>
              <w:t>El video, con sus datos en encabezados</w:t>
            </w:r>
          </w:p>
        </w:tc>
        <w:tc>
          <w:tcPr>
            <w:tcW w:type="dxa" w:w="5329"/>
          </w:tcPr>
          <w:p>
            <w:r/>
            <w:r>
              <w:rPr>
                <w:b w:val="0"/>
                <w:i w:val="0"/>
                <w:sz w:val="20"/>
              </w:rPr>
              <w:t>Caja de componente con duración, qué muestra, enlace, licencia y referencia</w:t>
            </w:r>
          </w:p>
        </w:tc>
      </w:tr>
      <w:tr>
        <w:tc>
          <w:tcPr>
            <w:tcW w:type="dxa" w:w="3969"/>
          </w:tcPr>
          <w:p>
            <w:r/>
            <w:r>
              <w:rPr>
                <w:b w:val="0"/>
                <w:i w:val="0"/>
                <w:sz w:val="20"/>
              </w:rPr>
              <w:t>Duración declarada: 1 min 32 s</w:t>
            </w:r>
          </w:p>
        </w:tc>
        <w:tc>
          <w:tcPr>
            <w:tcW w:type="dxa" w:w="5329"/>
          </w:tcPr>
          <w:p>
            <w:r/>
            <w:r>
              <w:rPr>
                <w:b w:val="0"/>
                <w:i w:val="0"/>
                <w:sz w:val="20"/>
              </w:rPr>
              <w:t>La real del archivo (2 min 01 s); si no coincide, esa pieza se detiene</w:t>
            </w:r>
          </w:p>
        </w:tc>
      </w:tr>
      <w:tr>
        <w:tc>
          <w:tcPr>
            <w:tcW w:type="dxa" w:w="3969"/>
          </w:tcPr>
          <w:p>
            <w:r/>
            <w:r>
              <w:rPr>
                <w:b w:val="0"/>
                <w:i w:val="0"/>
                <w:sz w:val="20"/>
              </w:rPr>
              <w:t>Sin instrucciones para el diseñador</w:t>
            </w:r>
          </w:p>
        </w:tc>
        <w:tc>
          <w:tcPr>
            <w:tcW w:type="dxa" w:w="5329"/>
          </w:tcPr>
          <w:p>
            <w:r/>
            <w:r>
              <w:rPr>
                <w:b w:val="0"/>
                <w:i w:val="0"/>
                <w:sz w:val="20"/>
              </w:rPr>
              <w:t>Una caja ámbar donde una figura aporta, con su leyenda y qué dibujar</w:t>
            </w:r>
          </w:p>
        </w:tc>
      </w:tr>
    </w:tbl>
    <w:p>
      <w:pPr>
        <w:spacing w:after="80"/>
      </w:pPr>
    </w:p>
    <w:sectPr w:rsidR="00FC693F" w:rsidRPr="0006063C" w:rsidSect="00034616">
      <w:pgSz w:w="12240" w:h="15840"/>
      <w:pgMar w:top="1191" w:right="1361" w:bottom="1191"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8" w:lineRule="auto"/>
    </w:pPr>
    <w:rPr>
      <w:rFonts w:ascii="Arial" w:hAnsi="Arial" w:eastAsia="Arial"/>
      <w:color w:val="30365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80"/>
      <w:outlineLvl w:val="0"/>
    </w:pPr>
    <w:rPr>
      <w:rFonts w:asciiTheme="majorHAnsi" w:eastAsiaTheme="majorEastAsia" w:hAnsiTheme="majorHAnsi" w:cstheme="majorBidi" w:ascii="Arial" w:hAnsi="Arial" w:eastAsia="Arial"/>
      <w:b/>
      <w:bCs/>
      <w:color w:val="503B96"/>
      <w:sz w:val="3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Arial" w:hAnsi="Arial" w:eastAsia="Arial"/>
      <w:b/>
      <w:bCs/>
      <w:color w:val="30365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303651"/>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b w:val="0"/>
      <w:color w:val="303651"/>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