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DOVideo 本地启动操作手册</w:t>
      </w:r>
    </w:p>
    <w:p>
      <w:pPr>
        <w:spacing w:after="300"/>
      </w:pPr>
      <w:r>
        <w:rPr>
          <w:color w:val="606770"/>
          <w:sz w:val="22"/>
        </w:rPr>
        <w:t>Windows PowerShell  本地开发环境</w:t>
      </w:r>
    </w:p>
    <w:p>
      <w:pPr>
        <w:spacing w:after="240"/>
      </w:pPr>
      <w:r>
        <w:t>本手册用于在 Windows 本机启动 DOVideo 的完整课程学习功能。基础设施由 Docker 在后台运行，另外需要保持五个 PowerShell 窗口运行，分别承载 Java 后端、Python Learning API、资料解析与索引 Worker、学习 Agent Worker 和前端。严格按本文顺序启动，可以避免端口、Python 环境和服务令牌不一致。</w:t>
      </w:r>
    </w:p>
    <w:p>
      <w:pPr>
        <w:pStyle w:val="Heading1"/>
      </w:pPr>
      <w:r>
        <w:t>启动结论</w:t>
      </w:r>
    </w:p>
    <w:p>
      <w:r>
        <w:rPr>
          <w:b/>
        </w:rPr>
        <w:t xml:space="preserve">需要持续保持运行的 PowerShell 窗口数量为 5 个。 </w:t>
      </w:r>
      <w:r>
        <w:t>Docker 基础设施以后台方式运行，不需要额外占用一个窗口。网站地址为 http://127.0.0.1:5173。</w:t>
      </w:r>
    </w:p>
    <w:p>
      <w:pPr>
        <w:pStyle w:val="Heading1"/>
      </w:pPr>
      <w:r>
        <w:t>启动前检查</w:t>
      </w:r>
    </w:p>
    <w:p>
      <w:pPr>
        <w:pStyle w:val="ListBullet"/>
      </w:pPr>
      <w:r>
        <w:t>Docker Desktop 已启动，并使用 Linux 容器。</w:t>
      </w:r>
    </w:p>
    <w:p>
      <w:pPr>
        <w:pStyle w:val="ListBullet"/>
      </w:pPr>
      <w:r>
        <w:t>项目目录为 D:\DOVideo-AI-main。</w:t>
      </w:r>
    </w:p>
    <w:p>
      <w:pPr>
        <w:pStyle w:val="ListBullet"/>
      </w:pPr>
      <w:r>
        <w:t>项目根目录 .env 已填写数据库、MinIO、Qdrant、服务令牌和 LLM 配置。</w:t>
      </w:r>
    </w:p>
    <w:p>
      <w:pPr>
        <w:pStyle w:val="ListBullet"/>
      </w:pPr>
      <w:r>
        <w:t>专用 Python 为 D:\miniconda3\envs\dovideo-learning\python.exe。</w:t>
      </w:r>
    </w:p>
    <w:p>
      <w:pPr>
        <w:pStyle w:val="ListBullet"/>
      </w:pPr>
      <w:r>
        <w:t>本地 BGE-M3 模型位于 D:\DOVideo-AI-main\.learning-models\bge-m3。</w:t>
      </w:r>
    </w:p>
    <w:p>
      <w:pPr>
        <w:pStyle w:val="Heading1"/>
      </w:pPr>
      <w:r>
        <w:t>端口总览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35"/>
        <w:gridCol w:w="1814"/>
        <w:gridCol w:w="4309"/>
      </w:tblGrid>
      <w:tr>
        <w:trPr>
          <w:tblHeader w:val="true"/>
        </w:trPr>
        <w:tc>
          <w:tcPr>
            <w:tcW w:type="dxa" w:w="2835"/>
            <w:shd w:fill="25364A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b/>
                <w:color w:val="FFFFFF"/>
              </w:rPr>
              <w:t>服务</w:t>
            </w:r>
          </w:p>
        </w:tc>
        <w:tc>
          <w:tcPr>
            <w:tcW w:type="dxa" w:w="1814"/>
            <w:shd w:fill="25364A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b/>
                <w:color w:val="FFFFFF"/>
              </w:rPr>
              <w:t>端口</w:t>
            </w:r>
          </w:p>
        </w:tc>
        <w:tc>
          <w:tcPr>
            <w:tcW w:type="dxa" w:w="4309"/>
            <w:shd w:fill="25364A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b/>
                <w:color w:val="FFFFFF"/>
              </w:rPr>
              <w:t>用途</w:t>
            </w:r>
          </w:p>
        </w:tc>
      </w:tr>
      <w:tr>
        <w:tc>
          <w:tcPr>
            <w:tcW w:type="dxa" w:w="2835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t>前端网站</w:t>
            </w:r>
          </w:p>
        </w:tc>
        <w:tc>
          <w:tcPr>
            <w:tcW w:type="dxa" w:w="1814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jc w:val="center"/>
            </w:pPr>
            <w:r>
              <w:t>5173</w:t>
            </w:r>
          </w:p>
        </w:tc>
        <w:tc>
          <w:tcPr>
            <w:tcW w:type="dxa" w:w="4309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t>浏览器访问入口</w:t>
            </w:r>
          </w:p>
        </w:tc>
      </w:tr>
      <w:tr>
        <w:tc>
          <w:tcPr>
            <w:tcW w:type="dxa" w:w="2835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F3F6FA"/>
          </w:tcPr>
          <w:p>
            <w:r>
              <w:t>Java 后端</w:t>
            </w:r>
          </w:p>
        </w:tc>
        <w:tc>
          <w:tcPr>
            <w:tcW w:type="dxa" w:w="1814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F3F6FA"/>
          </w:tcPr>
          <w:p>
            <w:pPr>
              <w:jc w:val="center"/>
            </w:pPr>
            <w:r>
              <w:t>9090</w:t>
            </w:r>
          </w:p>
        </w:tc>
        <w:tc>
          <w:tcPr>
            <w:tcW w:type="dxa" w:w="4309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F3F6FA"/>
          </w:tcPr>
          <w:p>
            <w:r>
              <w:t>业务接口和课程接口</w:t>
            </w:r>
          </w:p>
        </w:tc>
      </w:tr>
      <w:tr>
        <w:tc>
          <w:tcPr>
            <w:tcW w:type="dxa" w:w="2835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t>Python Learning API</w:t>
            </w:r>
          </w:p>
        </w:tc>
        <w:tc>
          <w:tcPr>
            <w:tcW w:type="dxa" w:w="1814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jc w:val="center"/>
            </w:pPr>
            <w:r>
              <w:t>8091</w:t>
            </w:r>
          </w:p>
        </w:tc>
        <w:tc>
          <w:tcPr>
            <w:tcW w:type="dxa" w:w="4309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t>解析、索引及 Agent 内部 API</w:t>
            </w:r>
          </w:p>
        </w:tc>
      </w:tr>
      <w:tr>
        <w:tc>
          <w:tcPr>
            <w:tcW w:type="dxa" w:w="2835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F3F6FA"/>
          </w:tcPr>
          <w:p>
            <w:r>
              <w:t>MySQL</w:t>
            </w:r>
          </w:p>
        </w:tc>
        <w:tc>
          <w:tcPr>
            <w:tcW w:type="dxa" w:w="1814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F3F6FA"/>
          </w:tcPr>
          <w:p>
            <w:pPr>
              <w:jc w:val="center"/>
            </w:pPr>
            <w:r>
              <w:t>3307</w:t>
            </w:r>
          </w:p>
        </w:tc>
        <w:tc>
          <w:tcPr>
            <w:tcW w:type="dxa" w:w="4309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F3F6FA"/>
          </w:tcPr>
          <w:p>
            <w:r>
              <w:t>项目业务数据库</w:t>
            </w:r>
          </w:p>
        </w:tc>
      </w:tr>
      <w:tr>
        <w:tc>
          <w:tcPr>
            <w:tcW w:type="dxa" w:w="2835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t>Redis</w:t>
            </w:r>
          </w:p>
        </w:tc>
        <w:tc>
          <w:tcPr>
            <w:tcW w:type="dxa" w:w="1814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jc w:val="center"/>
            </w:pPr>
            <w:r>
              <w:t>6379</w:t>
            </w:r>
          </w:p>
        </w:tc>
        <w:tc>
          <w:tcPr>
            <w:tcW w:type="dxa" w:w="4309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t>缓存及任务状态</w:t>
            </w:r>
          </w:p>
        </w:tc>
      </w:tr>
      <w:tr>
        <w:tc>
          <w:tcPr>
            <w:tcW w:type="dxa" w:w="2835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F3F6FA"/>
          </w:tcPr>
          <w:p>
            <w:r>
              <w:t>Qdrant</w:t>
            </w:r>
          </w:p>
        </w:tc>
        <w:tc>
          <w:tcPr>
            <w:tcW w:type="dxa" w:w="1814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F3F6FA"/>
          </w:tcPr>
          <w:p>
            <w:pPr>
              <w:jc w:val="center"/>
            </w:pPr>
            <w:r>
              <w:t>6333</w:t>
            </w:r>
          </w:p>
        </w:tc>
        <w:tc>
          <w:tcPr>
            <w:tcW w:type="dxa" w:w="4309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F3F6FA"/>
          </w:tcPr>
          <w:p>
            <w:r>
              <w:t>课程向量索引</w:t>
            </w:r>
          </w:p>
        </w:tc>
      </w:tr>
      <w:tr>
        <w:tc>
          <w:tcPr>
            <w:tcW w:type="dxa" w:w="2835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t>MinIO API</w:t>
            </w:r>
          </w:p>
        </w:tc>
        <w:tc>
          <w:tcPr>
            <w:tcW w:type="dxa" w:w="1814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jc w:val="center"/>
            </w:pPr>
            <w:r>
              <w:t>9000</w:t>
            </w:r>
          </w:p>
        </w:tc>
        <w:tc>
          <w:tcPr>
            <w:tcW w:type="dxa" w:w="4309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t>课程原文件和解析产物</w:t>
            </w:r>
          </w:p>
        </w:tc>
      </w:tr>
      <w:tr>
        <w:tc>
          <w:tcPr>
            <w:tcW w:type="dxa" w:w="2835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F3F6FA"/>
          </w:tcPr>
          <w:p>
            <w:r>
              <w:t>MinIO 控制台</w:t>
            </w:r>
          </w:p>
        </w:tc>
        <w:tc>
          <w:tcPr>
            <w:tcW w:type="dxa" w:w="1814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F3F6FA"/>
          </w:tcPr>
          <w:p>
            <w:pPr>
              <w:jc w:val="center"/>
            </w:pPr>
            <w:r>
              <w:t>9001</w:t>
            </w:r>
          </w:p>
        </w:tc>
        <w:tc>
          <w:tcPr>
            <w:tcW w:type="dxa" w:w="4309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F3F6FA"/>
          </w:tcPr>
          <w:p>
            <w:r>
              <w:t>对象存储管理页面</w:t>
            </w:r>
          </w:p>
        </w:tc>
      </w:tr>
      <w:tr>
        <w:tc>
          <w:tcPr>
            <w:tcW w:type="dxa" w:w="2835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t>RocketMQ NameServer</w:t>
            </w:r>
          </w:p>
        </w:tc>
        <w:tc>
          <w:tcPr>
            <w:tcW w:type="dxa" w:w="1814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jc w:val="center"/>
            </w:pPr>
            <w:r>
              <w:t>9876</w:t>
            </w:r>
          </w:p>
        </w:tc>
        <w:tc>
          <w:tcPr>
            <w:tcW w:type="dxa" w:w="4309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t>消息服务发现</w:t>
            </w:r>
          </w:p>
        </w:tc>
      </w:tr>
      <w:tr>
        <w:tc>
          <w:tcPr>
            <w:tcW w:type="dxa" w:w="2835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F3F6FA"/>
          </w:tcPr>
          <w:p>
            <w:r>
              <w:t>RocketMQ Broker</w:t>
            </w:r>
          </w:p>
        </w:tc>
        <w:tc>
          <w:tcPr>
            <w:tcW w:type="dxa" w:w="1814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F3F6FA"/>
          </w:tcPr>
          <w:p>
            <w:pPr>
              <w:jc w:val="center"/>
            </w:pPr>
            <w:r>
              <w:t>10909  10911</w:t>
            </w:r>
          </w:p>
        </w:tc>
        <w:tc>
          <w:tcPr>
            <w:tcW w:type="dxa" w:w="4309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F3F6FA"/>
          </w:tcPr>
          <w:p>
            <w:r>
              <w:t>消息传输</w:t>
            </w:r>
          </w:p>
        </w:tc>
      </w:tr>
    </w:tbl>
    <w:p>
      <w:r>
        <w:br w:type="page"/>
      </w:r>
    </w:p>
    <w:p>
      <w:pPr>
        <w:pStyle w:val="Heading1"/>
      </w:pPr>
      <w:r>
        <w:t>完整启动步骤</w:t>
      </w:r>
    </w:p>
    <w:p>
      <w:pPr>
        <w:pStyle w:val="Heading2"/>
        <w:keepNext/>
      </w:pPr>
      <w:r>
        <w:t>第一步  启动 Docker 基础设施</w:t>
      </w:r>
    </w:p>
    <w:p>
      <w:pPr>
        <w:spacing w:after="140"/>
      </w:pPr>
      <w:r>
        <w:t>打开任意一个 PowerShell。该命令执行完成后，容器在后台继续运行，这个窗口可以随后用来启动前端。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957"/>
      </w:tblGrid>
      <w:tr>
        <w:tc>
          <w:tcPr>
            <w:tcW w:type="dxa" w:w="8957"/>
            <w:shd w:fill="F3F5F7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 w:eastAsia="Microsoft YaHei"/>
                <w:color w:val="1E262E"/>
                <w:sz w:val="18"/>
              </w:rPr>
              <w:t>cd D:\DOVideo-AI-main</w:t>
              <w:br/>
            </w:r>
            <w:r>
              <w:rPr>
                <w:rFonts w:ascii="Consolas" w:hAnsi="Consolas" w:eastAsia="Microsoft YaHei"/>
                <w:color w:val="1E262E"/>
                <w:sz w:val="18"/>
              </w:rPr>
              <w:t>.\scripts\dev-up.ps1</w:t>
            </w:r>
          </w:p>
        </w:tc>
      </w:tr>
    </w:tbl>
    <w:p>
      <w:pPr>
        <w:spacing w:after="40"/>
      </w:pPr>
    </w:p>
    <w:p>
      <w:pPr>
        <w:spacing w:before="40" w:after="180"/>
      </w:pPr>
      <w:r>
        <w:rPr>
          <w:b/>
        </w:rPr>
        <w:t xml:space="preserve">成功标志  </w:t>
      </w:r>
      <w:r>
        <w:t>命令最终显示基础设施已经启动，并列出正在运行的容器。已有镜像时不会重新安装项目依赖。</w:t>
      </w:r>
    </w:p>
    <w:p>
      <w:pPr>
        <w:pStyle w:val="Heading2"/>
        <w:keepNext/>
      </w:pPr>
      <w:r>
        <w:t>PowerShell 1  启动 Java 后端</w:t>
      </w:r>
    </w:p>
    <w:p>
      <w:pPr>
        <w:spacing w:after="140"/>
      </w:pPr>
      <w:r>
        <w:t>新开第一个持续运行的 PowerShell，加载项目统一环境后启动 Spring Boot。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957"/>
      </w:tblGrid>
      <w:tr>
        <w:tc>
          <w:tcPr>
            <w:tcW w:type="dxa" w:w="8957"/>
            <w:shd w:fill="F3F5F7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 w:eastAsia="Microsoft YaHei"/>
                <w:color w:val="1E262E"/>
                <w:sz w:val="18"/>
              </w:rPr>
              <w:t>cd D:\DOVideo-AI-main</w:t>
              <w:br/>
            </w:r>
            <w:r>
              <w:rPr>
                <w:rFonts w:ascii="Consolas" w:hAnsi="Consolas" w:eastAsia="Microsoft YaHei"/>
                <w:color w:val="1E262E"/>
                <w:sz w:val="18"/>
              </w:rPr>
              <w:t>. .\scripts\learning-live-env.ps1</w:t>
              <w:br/>
            </w:r>
            <w:r>
              <w:rPr>
                <w:rFonts w:ascii="Consolas" w:hAnsi="Consolas" w:eastAsia="Microsoft YaHei"/>
                <w:color w:val="1E262E"/>
                <w:sz w:val="18"/>
              </w:rPr>
              <w:t>cd server</w:t>
              <w:br/>
            </w:r>
            <w:r>
              <w:rPr>
                <w:rFonts w:ascii="Consolas" w:hAnsi="Consolas" w:eastAsia="Microsoft YaHei"/>
                <w:color w:val="1E262E"/>
                <w:sz w:val="18"/>
              </w:rPr>
              <w:t>.\mvnw.cmd spring-boot:run</w:t>
            </w:r>
          </w:p>
        </w:tc>
      </w:tr>
    </w:tbl>
    <w:p>
      <w:pPr>
        <w:spacing w:after="40"/>
      </w:pPr>
    </w:p>
    <w:p>
      <w:pPr>
        <w:spacing w:before="40" w:after="180"/>
      </w:pPr>
      <w:r>
        <w:rPr>
          <w:b/>
        </w:rPr>
        <w:t xml:space="preserve">成功标志  </w:t>
      </w:r>
      <w:r>
        <w:t>日志出现 Undertow started on port 9090 和 Started ServerApplication。Flyway 会自动检查数据库版本，无需手工迁移。</w:t>
      </w:r>
    </w:p>
    <w:p>
      <w:pPr>
        <w:pStyle w:val="Heading2"/>
        <w:keepNext/>
      </w:pPr>
      <w:r>
        <w:t>PowerShell 2  启动 Python Learning API</w:t>
      </w:r>
    </w:p>
    <w:p>
      <w:pPr>
        <w:spacing w:after="140"/>
      </w:pPr>
      <w:r>
        <w:t>新开第二个持续运行的 PowerShell。它提供资料处理与学习 Agent 使用的内部 API。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957"/>
      </w:tblGrid>
      <w:tr>
        <w:tc>
          <w:tcPr>
            <w:tcW w:type="dxa" w:w="8957"/>
            <w:shd w:fill="F3F5F7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 w:eastAsia="Microsoft YaHei"/>
                <w:color w:val="1E262E"/>
                <w:sz w:val="18"/>
              </w:rPr>
              <w:t>cd D:\DOVideo-AI-main</w:t>
              <w:br/>
            </w:r>
            <w:r>
              <w:rPr>
                <w:rFonts w:ascii="Consolas" w:hAnsi="Consolas" w:eastAsia="Microsoft YaHei"/>
                <w:color w:val="1E262E"/>
                <w:sz w:val="18"/>
              </w:rPr>
              <w:t>. .\scripts\learning-live-env.ps1</w:t>
              <w:br/>
            </w:r>
            <w:r>
              <w:rPr>
                <w:rFonts w:ascii="Consolas" w:hAnsi="Consolas" w:eastAsia="Microsoft YaHei"/>
                <w:color w:val="1E262E"/>
                <w:sz w:val="18"/>
              </w:rPr>
              <w:t>python -m uvicorn agent_service.api:create_app --factory --host 127.0.0.1 --port 8091</w:t>
            </w:r>
          </w:p>
        </w:tc>
      </w:tr>
    </w:tbl>
    <w:p>
      <w:pPr>
        <w:spacing w:after="40"/>
      </w:pPr>
    </w:p>
    <w:p>
      <w:pPr>
        <w:spacing w:before="40" w:after="180"/>
      </w:pPr>
      <w:r>
        <w:rPr>
          <w:b/>
        </w:rPr>
        <w:t xml:space="preserve">成功标志  </w:t>
      </w:r>
      <w:r>
        <w:t>Uvicorn 显示正在监听 http://127.0.0.1:8091。</w:t>
      </w:r>
    </w:p>
    <w:p>
      <w:pPr>
        <w:pStyle w:val="Heading2"/>
        <w:keepNext/>
      </w:pPr>
      <w:r>
        <w:t>PowerShell 3  启动资料解析与索引 Worker</w:t>
      </w:r>
    </w:p>
    <w:p>
      <w:pPr>
        <w:spacing w:after="140"/>
      </w:pPr>
      <w:r>
        <w:t>新开第三个持续运行的 PowerShell。该进程负责解析资料、分块、BGE-M3 Embedding、写入 Qdrant 和发布 active index。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957"/>
      </w:tblGrid>
      <w:tr>
        <w:tc>
          <w:tcPr>
            <w:tcW w:type="dxa" w:w="8957"/>
            <w:shd w:fill="F3F5F7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 w:eastAsia="Microsoft YaHei"/>
                <w:color w:val="1E262E"/>
                <w:sz w:val="18"/>
              </w:rPr>
              <w:t>cd D:\DOVideo-AI-main</w:t>
              <w:br/>
            </w:r>
            <w:r>
              <w:rPr>
                <w:rFonts w:ascii="Consolas" w:hAnsi="Consolas" w:eastAsia="Microsoft YaHei"/>
                <w:color w:val="1E262E"/>
                <w:sz w:val="18"/>
              </w:rPr>
              <w:t>. .\scripts\learning-live-env.ps1</w:t>
              <w:br/>
            </w:r>
            <w:r>
              <w:rPr>
                <w:rFonts w:ascii="Consolas" w:hAnsi="Consolas" w:eastAsia="Microsoft YaHei"/>
                <w:color w:val="1E262E"/>
                <w:sz w:val="18"/>
              </w:rPr>
              <w:t>python -m agent_service.worker</w:t>
            </w:r>
          </w:p>
        </w:tc>
      </w:tr>
    </w:tbl>
    <w:p>
      <w:pPr>
        <w:spacing w:after="40"/>
      </w:pPr>
    </w:p>
    <w:p>
      <w:pPr>
        <w:spacing w:before="40" w:after="180"/>
      </w:pPr>
      <w:r>
        <w:rPr>
          <w:b/>
        </w:rPr>
        <w:t xml:space="preserve">成功标志  </w:t>
      </w:r>
      <w:r>
        <w:t>命令持续运行并等待任务。没有连续日志通常表示 Worker 正在正常等待，而不是卡死。</w:t>
      </w:r>
    </w:p>
    <w:p>
      <w:pPr>
        <w:pStyle w:val="Heading2"/>
        <w:keepNext/>
      </w:pPr>
      <w:r>
        <w:t>PowerShell 4  启动学习 Agent Worker</w:t>
      </w:r>
    </w:p>
    <w:p>
      <w:pPr>
        <w:spacing w:after="140"/>
      </w:pPr>
      <w:r>
        <w:t>新开第四个持续运行的 PowerShell。它处理课程问答、笔记、重点难点、针对性复习、练习题和模拟试卷。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957"/>
      </w:tblGrid>
      <w:tr>
        <w:tc>
          <w:tcPr>
            <w:tcW w:type="dxa" w:w="8957"/>
            <w:shd w:fill="F3F5F7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 w:eastAsia="Microsoft YaHei"/>
                <w:color w:val="1E262E"/>
                <w:sz w:val="18"/>
              </w:rPr>
              <w:t>cd D:\DOVideo-AI-main</w:t>
              <w:br/>
            </w:r>
            <w:r>
              <w:rPr>
                <w:rFonts w:ascii="Consolas" w:hAnsi="Consolas" w:eastAsia="Microsoft YaHei"/>
                <w:color w:val="1E262E"/>
                <w:sz w:val="18"/>
              </w:rPr>
              <w:t>. .\scripts\learning-live-env.ps1</w:t>
              <w:br/>
            </w:r>
            <w:r>
              <w:rPr>
                <w:rFonts w:ascii="Consolas" w:hAnsi="Consolas" w:eastAsia="Microsoft YaHei"/>
                <w:color w:val="1E262E"/>
                <w:sz w:val="18"/>
              </w:rPr>
              <w:t>python -m agent_service.learning_agent.worker</w:t>
            </w:r>
          </w:p>
        </w:tc>
      </w:tr>
    </w:tbl>
    <w:p>
      <w:pPr>
        <w:spacing w:after="40"/>
      </w:pPr>
    </w:p>
    <w:p>
      <w:pPr>
        <w:spacing w:before="40" w:after="180"/>
      </w:pPr>
      <w:r>
        <w:rPr>
          <w:b/>
        </w:rPr>
        <w:t xml:space="preserve">成功标志  </w:t>
      </w:r>
      <w:r>
        <w:t>命令持续运行并等待学习任务。空闲时不输出日志属于正常现象。</w:t>
      </w:r>
    </w:p>
    <w:p>
      <w:pPr>
        <w:pStyle w:val="Heading2"/>
        <w:keepNext/>
      </w:pPr>
      <w:r>
        <w:t>PowerShell 5  启动前端</w:t>
      </w:r>
    </w:p>
    <w:p>
      <w:pPr>
        <w:spacing w:after="140"/>
      </w:pPr>
      <w:r>
        <w:t>新开第五个持续运行的 PowerShell，或复用已经完成 Docker 启动的临时窗口。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957"/>
      </w:tblGrid>
      <w:tr>
        <w:tc>
          <w:tcPr>
            <w:tcW w:type="dxa" w:w="8957"/>
            <w:shd w:fill="F3F5F7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 w:eastAsia="Microsoft YaHei"/>
                <w:color w:val="1E262E"/>
                <w:sz w:val="18"/>
              </w:rPr>
              <w:t>cd D:\DOVideo-AI-main\client</w:t>
              <w:br/>
            </w:r>
            <w:r>
              <w:rPr>
                <w:rFonts w:ascii="Consolas" w:hAnsi="Consolas" w:eastAsia="Microsoft YaHei"/>
                <w:color w:val="1E262E"/>
                <w:sz w:val="18"/>
              </w:rPr>
              <w:t>npm run dev -- --host 127.0.0.1 --port 5173 --strictPort</w:t>
            </w:r>
          </w:p>
        </w:tc>
      </w:tr>
    </w:tbl>
    <w:p>
      <w:pPr>
        <w:spacing w:after="40"/>
      </w:pPr>
    </w:p>
    <w:p>
      <w:pPr>
        <w:spacing w:before="40" w:after="180"/>
      </w:pPr>
      <w:r>
        <w:rPr>
          <w:b/>
        </w:rPr>
        <w:t xml:space="preserve">成功标志  </w:t>
      </w:r>
      <w:r>
        <w:t>Vite 显示 Local 地址为 http://127.0.0.1:5173。</w:t>
      </w:r>
    </w:p>
    <w:p>
      <w:pPr>
        <w:pStyle w:val="Heading1"/>
      </w:pPr>
      <w:r>
        <w:t>打开网站</w:t>
      </w:r>
    </w:p>
    <w:p>
      <w:pPr>
        <w:spacing w:after="80"/>
      </w:pPr>
      <w:r>
        <w:t>全部服务启动后，在浏览器中打开：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957"/>
      </w:tblGrid>
      <w:tr>
        <w:tc>
          <w:tcPr>
            <w:tcW w:type="dxa" w:w="8957"/>
            <w:shd w:fill="F3F5F7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 w:eastAsia="Microsoft YaHei"/>
                <w:color w:val="1E262E"/>
                <w:sz w:val="18"/>
              </w:rPr>
              <w:t>http://127.0.0.1:5173</w:t>
            </w:r>
          </w:p>
        </w:tc>
      </w:tr>
    </w:tbl>
    <w:p>
      <w:pPr>
        <w:spacing w:after="40"/>
      </w:pPr>
    </w:p>
    <w:p>
      <w:r>
        <w:t>登录后进入课程页面，即可上传资料、等待索引完成，并使用课程学习助手。</w:t>
      </w:r>
    </w:p>
    <w:p>
      <w:pPr>
        <w:pStyle w:val="Heading1"/>
      </w:pPr>
      <w:r>
        <w:t>必须保持运行的五个窗口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rPr>
          <w:tblHeader w:val="true"/>
        </w:trPr>
        <w:tc>
          <w:tcPr>
            <w:tcW w:type="dxa" w:w="1247"/>
            <w:shd w:fill="25364A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b/>
                <w:color w:val="FFFFFF"/>
              </w:rPr>
              <w:t>窗口</w:t>
            </w:r>
          </w:p>
        </w:tc>
        <w:tc>
          <w:tcPr>
            <w:tcW w:type="dxa" w:w="4876"/>
            <w:shd w:fill="25364A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b/>
                <w:color w:val="FFFFFF"/>
              </w:rPr>
              <w:t>运行内容</w:t>
            </w:r>
          </w:p>
        </w:tc>
        <w:tc>
          <w:tcPr>
            <w:tcW w:type="dxa" w:w="2835"/>
            <w:shd w:fill="25364A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b/>
                <w:color w:val="FFFFFF"/>
              </w:rPr>
              <w:t>端口</w:t>
            </w:r>
          </w:p>
        </w:tc>
      </w:tr>
      <w:tr>
        <w:tc>
          <w:tcPr>
            <w:tcW w:type="dxa" w:w="1247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4876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t>Java 后端</w:t>
            </w:r>
          </w:p>
        </w:tc>
        <w:tc>
          <w:tcPr>
            <w:tcW w:type="dxa" w:w="2835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jc w:val="center"/>
            </w:pPr>
            <w:r>
              <w:t>9090</w:t>
            </w:r>
          </w:p>
        </w:tc>
      </w:tr>
      <w:tr>
        <w:tc>
          <w:tcPr>
            <w:tcW w:type="dxa" w:w="1247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F3F6FA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4876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F3F6FA"/>
          </w:tcPr>
          <w:p>
            <w:r>
              <w:t>Python Learning API</w:t>
            </w:r>
          </w:p>
        </w:tc>
        <w:tc>
          <w:tcPr>
            <w:tcW w:type="dxa" w:w="2835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F3F6FA"/>
          </w:tcPr>
          <w:p>
            <w:pPr>
              <w:jc w:val="center"/>
            </w:pPr>
            <w:r>
              <w:t>8091</w:t>
            </w:r>
          </w:p>
        </w:tc>
      </w:tr>
      <w:tr>
        <w:tc>
          <w:tcPr>
            <w:tcW w:type="dxa" w:w="1247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4876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t>资料解析与索引 Worker</w:t>
            </w:r>
          </w:p>
        </w:tc>
        <w:tc>
          <w:tcPr>
            <w:tcW w:type="dxa" w:w="2835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jc w:val="center"/>
            </w:pPr>
            <w:r>
              <w:t>无新增监听端口</w:t>
            </w:r>
          </w:p>
        </w:tc>
      </w:tr>
      <w:tr>
        <w:tc>
          <w:tcPr>
            <w:tcW w:type="dxa" w:w="1247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F3F6FA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4876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F3F6FA"/>
          </w:tcPr>
          <w:p>
            <w:r>
              <w:t>学习 Agent Worker</w:t>
            </w:r>
          </w:p>
        </w:tc>
        <w:tc>
          <w:tcPr>
            <w:tcW w:type="dxa" w:w="2835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F3F6FA"/>
          </w:tcPr>
          <w:p>
            <w:pPr>
              <w:jc w:val="center"/>
            </w:pPr>
            <w:r>
              <w:t>无新增监听端口</w:t>
            </w:r>
          </w:p>
        </w:tc>
      </w:tr>
      <w:tr>
        <w:tc>
          <w:tcPr>
            <w:tcW w:type="dxa" w:w="1247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4876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t>前端</w:t>
            </w:r>
          </w:p>
        </w:tc>
        <w:tc>
          <w:tcPr>
            <w:tcW w:type="dxa" w:w="2835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jc w:val="center"/>
            </w:pPr>
            <w:r>
              <w:t>5173</w:t>
            </w:r>
          </w:p>
        </w:tc>
      </w:tr>
    </w:tbl>
    <w:p>
      <w:pPr>
        <w:pStyle w:val="Heading1"/>
      </w:pPr>
      <w:r>
        <w:t>日常使用注意事项</w:t>
      </w:r>
    </w:p>
    <w:p>
      <w:pPr>
        <w:pStyle w:val="ListBullet"/>
      </w:pPr>
      <w:r>
        <w:t>每个新开的 Java 或 Python PowerShell 都要先执行 . .\scripts\learning-live-env.ps1。点号与脚本路径之间有一个空格。</w:t>
      </w:r>
    </w:p>
    <w:p>
      <w:pPr>
        <w:pStyle w:val="ListBullet"/>
      </w:pPr>
      <w:r>
        <w:t>不要使用基础环境 D:\miniconda3\python.exe；项目统一使用 dovideo-learning 专用环境。</w:t>
      </w:r>
    </w:p>
    <w:p>
      <w:pPr>
        <w:pStyle w:val="ListBullet"/>
      </w:pPr>
      <w:r>
        <w:t>不要每次启动时手工执行 Flyway 或 Alembic。正常启动只需让 Java 和 Python 服务自行检查版本。</w:t>
      </w:r>
    </w:p>
    <w:p>
      <w:pPr>
        <w:pStyle w:val="ListBullet"/>
      </w:pPr>
      <w:r>
        <w:t>不要关闭五个持续运行窗口。关闭其中任何一个，对应功能就会停止。</w:t>
      </w:r>
    </w:p>
    <w:p>
      <w:pPr>
        <w:pStyle w:val="ListBullet"/>
      </w:pPr>
      <w:r>
        <w:t>如果 5173 已被占用，先关闭旧前端进程，不要让 Vite 自动换到其他端口，否则可能触发 CORS 问题。</w:t>
      </w:r>
    </w:p>
    <w:p>
      <w:pPr>
        <w:pStyle w:val="ListBullet"/>
      </w:pPr>
      <w:r>
        <w:t>修改 .env 后，需要重启读取该配置的 Java、Python API 和两个 Worker。</w:t>
      </w:r>
    </w:p>
    <w:p>
      <w:pPr>
        <w:pStyle w:val="Heading1"/>
      </w:pPr>
      <w:r>
        <w:t>推荐关闭顺序</w:t>
      </w:r>
    </w:p>
    <w:p>
      <w:r>
        <w:t>先在前端、学习 Agent Worker、解析与索引 Worker、Python Learning API 和 Java 后端窗口中分别按 Ctrl C。如果当天不再使用，再在项目根目录执行以下命令停止 Docker 基础设施：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957"/>
      </w:tblGrid>
      <w:tr>
        <w:tc>
          <w:tcPr>
            <w:tcW w:type="dxa" w:w="8957"/>
            <w:shd w:fill="F3F5F7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 w:eastAsia="Microsoft YaHei"/>
                <w:color w:val="1E262E"/>
                <w:sz w:val="18"/>
              </w:rPr>
              <w:t>cd D:\DOVideo-AI-main</w:t>
              <w:br/>
            </w:r>
            <w:r>
              <w:rPr>
                <w:rFonts w:ascii="Consolas" w:hAnsi="Consolas" w:eastAsia="Microsoft YaHei"/>
                <w:color w:val="1E262E"/>
                <w:sz w:val="18"/>
              </w:rPr>
              <w:t>docker compose --env-file .env down</w:t>
            </w:r>
          </w:p>
        </w:tc>
      </w:tr>
    </w:tbl>
    <w:p>
      <w:pPr>
        <w:spacing w:after="40"/>
      </w:pPr>
    </w:p>
    <w:p>
      <w:r>
        <w:t>该命令停止容器，但不会删除 MySQL、MinIO、Qdrant 或 RocketMQ 的持久化数据。不要添加 -v 参数。</w:t>
      </w:r>
    </w:p>
    <w:p>
      <w:pPr>
        <w:pStyle w:val="Heading1"/>
      </w:pPr>
      <w:r>
        <w:t>快速排查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rPr>
          <w:tblHeader w:val="true"/>
        </w:trPr>
        <w:tc>
          <w:tcPr>
            <w:tcW w:type="dxa" w:w="2835"/>
            <w:shd w:fill="25364A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b/>
                <w:color w:val="FFFFFF"/>
              </w:rPr>
              <w:t>现象</w:t>
            </w:r>
          </w:p>
        </w:tc>
        <w:tc>
          <w:tcPr>
            <w:tcW w:type="dxa" w:w="6123"/>
            <w:shd w:fill="25364A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b/>
                <w:color w:val="FFFFFF"/>
              </w:rPr>
              <w:t>检查方式</w:t>
            </w:r>
          </w:p>
        </w:tc>
      </w:tr>
      <w:tr>
        <w:tc>
          <w:tcPr>
            <w:tcW w:type="dxa" w:w="2835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</w:tcPr>
          <w:p>
            <w:r>
              <w:t>网页打不开</w:t>
            </w:r>
          </w:p>
        </w:tc>
        <w:tc>
          <w:tcPr>
            <w:tcW w:type="dxa" w:w="6123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</w:tcPr>
          <w:p>
            <w:r>
              <w:t>确认前端窗口仍在运行，并访问 127.0.0.1:5173。</w:t>
            </w:r>
          </w:p>
        </w:tc>
      </w:tr>
      <w:tr>
        <w:tc>
          <w:tcPr>
            <w:tcW w:type="dxa" w:w="2835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  <w:shd w:fill="F3F6FA"/>
          </w:tcPr>
          <w:p>
            <w:r>
              <w:t>页面提示服务不可用</w:t>
            </w:r>
          </w:p>
        </w:tc>
        <w:tc>
          <w:tcPr>
            <w:tcW w:type="dxa" w:w="6123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  <w:shd w:fill="F3F6FA"/>
          </w:tcPr>
          <w:p>
            <w:r>
              <w:t>先确认 Java 9090，再确认 Python API 8091。</w:t>
            </w:r>
          </w:p>
        </w:tc>
      </w:tr>
      <w:tr>
        <w:tc>
          <w:tcPr>
            <w:tcW w:type="dxa" w:w="2835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</w:tcPr>
          <w:p>
            <w:r>
              <w:t>资料一直等待处理</w:t>
            </w:r>
          </w:p>
        </w:tc>
        <w:tc>
          <w:tcPr>
            <w:tcW w:type="dxa" w:w="6123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</w:tcPr>
          <w:p>
            <w:r>
              <w:t>确认资料解析与索引 Worker、MinIO、MySQL 和 Qdrant 正常运行。</w:t>
            </w:r>
          </w:p>
        </w:tc>
      </w:tr>
      <w:tr>
        <w:tc>
          <w:tcPr>
            <w:tcW w:type="dxa" w:w="2835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  <w:shd w:fill="F3F6FA"/>
          </w:tcPr>
          <w:p>
            <w:r>
              <w:t>学习助手一直生成中</w:t>
            </w:r>
          </w:p>
        </w:tc>
        <w:tc>
          <w:tcPr>
            <w:tcW w:type="dxa" w:w="6123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  <w:shd w:fill="F3F6FA"/>
          </w:tcPr>
          <w:p>
            <w:r>
              <w:t>确认学习 Agent Worker 正常运行，并检查 .env 中的 LLM 地址、Key 和模型名称。</w:t>
            </w:r>
          </w:p>
        </w:tc>
      </w:tr>
      <w:tr>
        <w:tc>
          <w:tcPr>
            <w:tcW w:type="dxa" w:w="2835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</w:tcPr>
          <w:p>
            <w:r>
              <w:t>Python 路径错误</w:t>
            </w:r>
          </w:p>
        </w:tc>
        <w:tc>
          <w:tcPr>
            <w:tcW w:type="dxa" w:w="6123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</w:tcPr>
          <w:p>
            <w:r>
              <w:t>重新执行 learning-live-env.ps1，再用 python -c "import sys; print(sys.executable)" 检查。</w:t>
            </w:r>
          </w:p>
        </w:tc>
      </w:tr>
    </w:tbl>
    <w:sectPr w:rsidR="00FC693F" w:rsidRPr="0006063C" w:rsidSect="00034616">
      <w:pgSz w:w="12240" w:h="15840"/>
      <w:pgMar w:top="1134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93" w:lineRule="auto" w:after="120"/>
    </w:pPr>
    <w:rPr>
      <w:rFonts w:ascii="Aptos" w:hAnsi="Aptos" w:eastAsia="Microsoft YaHei"/>
      <w:color w:val="1C2024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ptos Display" w:hAnsi="Aptos Display" w:eastAsia="Microsoft YaHei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ptos Display" w:hAnsi="Aptos Display" w:eastAsia="Microsoft Ya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 w:eastAsia="Microsoft YaHei"/>
      <w:b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DOVideo 本地启动操作手册</dc:title>
  <dc:subject>Windows PowerShell 本地启动步骤</dc:subject>
  <dc:creator>DOVideo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