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4"/>
          <w:szCs w:val="44"/>
        </w:rPr>
        <w:t xml:space="preserve">GATE → IIT Bombay M.Tech</w:t>
      </w:r>
    </w:p>
    <w:p>
      <w:pPr>
        <w:spacing w:after="300"/>
      </w:pPr>
      <w:r>
        <w:rPr>
          <w:color w:val="2A7F8E"/>
          <w:sz w:val="26"/>
          <w:szCs w:val="26"/>
        </w:rPr>
        <w:t xml:space="preserve">What GATE score it actually takes, and how your CS + DA prep connects to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0B84C" w:sz="6"/>
              <w:left w:val="single" w:color="E0B84C" w:sz="6"/>
              <w:bottom w:val="single" w:color="E0B84C" w:sz="6"/>
              <w:right w:val="single" w:color="E0B84C" w:sz="6"/>
            </w:tcBorders>
            <w:shd w:fill="FFF4D6" w:val="clear"/>
            <w:tcMar>
              <w:top w:type="dxa" w:w="120"/>
              <w:left w:type="dxa" w:w="150"/>
              <w:bottom w:type="dxa" w:w="120"/>
              <w:right w:type="dxa" w:w="150"/>
            </w:tcMar>
          </w:tcPr>
          <w:p>
            <w:r>
              <w:rPr>
                <w:color w:val="5A4A00"/>
                <w:sz w:val="20"/>
                <w:szCs w:val="20"/>
              </w:rPr>
              <w:t xml:space="preserve">Figures below mix actual closing scores (2023–2024) with 2026 projections from exam-prep sites; none of this is an official IIT Bombay cutoff. Verify against COAP and the IIT Bombay academic portal once GATE 2026/2027 results and counselling rounds are published.</w:t>
            </w:r>
          </w:p>
        </w:tc>
      </w:tr>
    </w:tbl>
    <w:p>
      <w:pPr>
        <w:spacing w:after="200"/>
      </w:pPr>
    </w:p>
    <w:p>
      <w:pPr>
        <w:pStyle w:val="Heading1"/>
        <w:spacing w:after="140" w:before="280"/>
      </w:pPr>
      <w:r>
        <w:t xml:space="preserve">How the process works</w:t>
      </w:r>
    </w:p>
    <w:p>
      <w:pPr>
        <w:pStyle w:val="ListParagraph"/>
        <w:numPr>
          <w:ilvl w:val="0"/>
          <w:numId w:val="1"/>
        </w:numPr>
        <w:spacing w:after="80"/>
      </w:pPr>
      <w:r>
        <w:t xml:space="preserve">IIT Bombay takes GATE-qualified candidates through COAP (Common Offer Acceptance Portal), not a separate application.</w:t>
      </w:r>
    </w:p>
    <w:p>
      <w:pPr>
        <w:pStyle w:val="ListParagraph"/>
        <w:numPr>
          <w:ilvl w:val="0"/>
          <w:numId w:val="1"/>
        </w:numPr>
        <w:spacing w:after="80"/>
      </w:pPr>
      <w:r>
        <w:t xml:space="preserve">Selection is 70% GATE score + 30% written test/interview, or direct admission for the strongest candidates. The 2026 cycle's organizing institute is IIT Guwahati, with results and counselling run through COAP and the IITB academic portal.</w:t>
      </w:r>
    </w:p>
    <w:p>
      <w:pPr>
        <w:pStyle w:val="ListParagraph"/>
        <w:numPr>
          <w:ilvl w:val="0"/>
          <w:numId w:val="1"/>
        </w:numPr>
        <w:spacing w:after="80"/>
      </w:pPr>
      <w:r>
        <w:t xml:space="preserve">Clearing the GATE qualifying cutoff (around 30 marks out of 100) only makes you eligible to apply — it is nowhere near enough for IIT Bombay CSE. The qualifying cutoff and the admission cutoff are different things; IIT Bombay CSE's admission cutoff has been projected at over 750 on the 1000-point GATE score scale.</w:t>
      </w:r>
    </w:p>
    <w:p>
      <w:pPr>
        <w:pStyle w:val="Heading1"/>
        <w:spacing w:after="140" w:before="280"/>
      </w:pPr>
      <w:r>
        <w:t xml:space="preserve">What score you actually need (General category)</w:t>
      </w:r>
    </w:p>
    <w:p>
      <w:pPr>
        <w:spacing w:after="120"/>
      </w:pPr>
      <w:r>
        <w:t xml:space="preserve">Estimates vary by source, but they converge on a range:</w:t>
      </w:r>
    </w:p>
    <w:p>
      <w:pPr>
        <w:pStyle w:val="ListParagraph"/>
        <w:numPr>
          <w:ilvl w:val="0"/>
          <w:numId w:val="1"/>
        </w:numPr>
        <w:spacing w:after="80"/>
      </w:pPr>
      <w:r>
        <w:t xml:space="preserve">One projection puts IIT Bombay CSE at a GATE score of 850–870 for General, 800–820 for OBC-NCL/EWS, 700–720 for SC, and 680–700 for ST.</w:t>
      </w:r>
    </w:p>
    <w:p>
      <w:pPr>
        <w:pStyle w:val="ListParagraph"/>
        <w:numPr>
          <w:ilvl w:val="0"/>
          <w:numId w:val="1"/>
        </w:numPr>
        <w:spacing w:after="80"/>
      </w:pPr>
      <w:r>
        <w:t xml:space="preserve">Another source says IIT Bombay and IIT Delhi CSE have typically closed above 820–840 for General category students based on 2024–2025 trends.</w:t>
      </w:r>
    </w:p>
    <w:p>
      <w:pPr>
        <w:pStyle w:val="ListParagraph"/>
        <w:numPr>
          <w:ilvl w:val="0"/>
          <w:numId w:val="1"/>
        </w:numPr>
        <w:spacing w:after="80"/>
      </w:pPr>
      <w:r>
        <w:t xml:space="preserve">A third projection expects CSE and AI/Data Science cutoffs at IIT Bombay to range 750–900 for 2026.</w:t>
      </w:r>
    </w:p>
    <w:p>
      <w:pPr>
        <w:pStyle w:val="ListParagraph"/>
        <w:numPr>
          <w:ilvl w:val="0"/>
          <w:numId w:val="1"/>
        </w:numPr>
        <w:spacing w:after="80"/>
      </w:pPr>
      <w:r>
        <w:t xml:space="preserve">Based on actual closing data rather than projections: IIT Bombay's CSE cutoff closed at 750 for General in both 2023 and 2024, with OBC-NC at 675 and SC/ST at 500.</w:t>
      </w:r>
    </w:p>
    <w:p>
      <w:pPr>
        <w:spacing w:after="120"/>
      </w:pPr>
      <w:r>
        <w:rPr>
          <w:b/>
          <w:bCs/>
        </w:rPr>
        <w:t xml:space="preserve">Practical read: </w:t>
      </w:r>
      <w:r>
        <w:t xml:space="preserve">750 has been the real closing score in recent years for General category; projections for your cycle lean higher (800+) because competition keeps rising. Treat 820+ (General) as the safe target, with 750 as the realistic floor if the field doesn't tighten further.</w:t>
      </w:r>
    </w:p>
    <w:p>
      <w:pPr>
        <w:pStyle w:val="Heading1"/>
        <w:spacing w:after="140" w:before="280"/>
      </w:pPr>
      <w:r>
        <w:t xml:space="preserve">Category-wise (relevant to you as OBC-NCL)</w:t>
      </w:r>
    </w:p>
    <w:p>
      <w:pPr>
        <w:spacing w:after="120"/>
      </w:pPr>
      <w:r>
        <w:t xml:space="preserve">Actual 2023–24 CSE cutoffs: General/EWS 750, OBC-NC 675, SC/ST 500. Projected 2026 figures put OBC-NCL at 800–820 — but that is a projection, not a closed round. Going by the historical pattern, OBC-NCL cutoffs for IIT Bombay CSE have tracked roughly 0.9× the General cutoff, so if General lands near 800–850, expect OBC-NCL somewhere around 720–770.</w:t>
      </w:r>
    </w:p>
    <w:tbl>
      <w:tblPr>
        <w:tblW w:type="dxa" w:w="9000"/>
        <w:tblBorders>
          <w:top w:val="single" w:color="B8C7CE" w:sz="4"/>
          <w:left w:val="single" w:color="B8C7CE" w:sz="4"/>
          <w:bottom w:val="single" w:color="B8C7CE" w:sz="4"/>
          <w:right w:val="single" w:color="B8C7CE" w:sz="4"/>
          <w:insideH w:val="single" w:color="B8C7CE" w:sz="4"/>
          <w:insideV w:val="single" w:color="B8C7CE" w:sz="4"/>
        </w:tblBorders>
      </w:tblPr>
      <w:tblGrid>
        <w:gridCol w:w="3060"/>
        <w:gridCol w:w="2970"/>
        <w:gridCol w:w="2970"/>
      </w:tblGrid>
      <w:tr>
        <w:trPr>
          <w:tblHeader/>
        </w:trPr>
        <w:tc>
          <w:tcPr>
            <w:tcW w:type="dxa" w:w="3060"/>
            <w:shd w:fill="1F3A5F" w:val="clear"/>
            <w:tcMar>
              <w:top w:type="dxa" w:w="80"/>
              <w:left w:type="dxa" w:w="100"/>
              <w:bottom w:type="dxa" w:w="80"/>
              <w:right w:type="dxa" w:w="100"/>
            </w:tcMar>
          </w:tcPr>
          <w:p>
            <w:r>
              <w:rPr>
                <w:b/>
                <w:bCs/>
                <w:color w:val="FFFFFF"/>
                <w:sz w:val="18"/>
                <w:szCs w:val="18"/>
              </w:rPr>
              <w:t xml:space="preserve">Category</w:t>
            </w:r>
          </w:p>
        </w:tc>
        <w:tc>
          <w:tcPr>
            <w:tcW w:type="dxa" w:w="2970"/>
            <w:shd w:fill="1F3A5F" w:val="clear"/>
            <w:tcMar>
              <w:top w:type="dxa" w:w="80"/>
              <w:left w:type="dxa" w:w="100"/>
              <w:bottom w:type="dxa" w:w="80"/>
              <w:right w:type="dxa" w:w="100"/>
            </w:tcMar>
          </w:tcPr>
          <w:p>
            <w:r>
              <w:rPr>
                <w:b/>
                <w:bCs/>
                <w:color w:val="FFFFFF"/>
                <w:sz w:val="18"/>
                <w:szCs w:val="18"/>
              </w:rPr>
              <w:t xml:space="preserve">Actual 2023–24 (closed)</w:t>
            </w:r>
          </w:p>
        </w:tc>
        <w:tc>
          <w:tcPr>
            <w:tcW w:type="dxa" w:w="2970"/>
            <w:shd w:fill="1F3A5F" w:val="clear"/>
            <w:tcMar>
              <w:top w:type="dxa" w:w="80"/>
              <w:left w:type="dxa" w:w="100"/>
              <w:bottom w:type="dxa" w:w="80"/>
              <w:right w:type="dxa" w:w="100"/>
            </w:tcMar>
          </w:tcPr>
          <w:p>
            <w:r>
              <w:rPr>
                <w:b/>
                <w:bCs/>
                <w:color w:val="FFFFFF"/>
                <w:sz w:val="18"/>
                <w:szCs w:val="18"/>
              </w:rPr>
              <w:t xml:space="preserve">2026 projection</w:t>
            </w:r>
          </w:p>
        </w:tc>
      </w:tr>
      <w:tr>
        <w:tc>
          <w:tcPr>
            <w:tcW w:type="dxa" w:w="3060"/>
            <w:tcMar>
              <w:top w:type="dxa" w:w="80"/>
              <w:left w:type="dxa" w:w="100"/>
              <w:bottom w:type="dxa" w:w="80"/>
              <w:right w:type="dxa" w:w="100"/>
            </w:tcMar>
          </w:tcPr>
          <w:p>
            <w:r>
              <w:rPr>
                <w:b/>
                <w:bCs/>
                <w:color w:val="222222"/>
                <w:sz w:val="18"/>
                <w:szCs w:val="18"/>
              </w:rPr>
              <w:t xml:space="preserve">General / EWS</w:t>
            </w:r>
          </w:p>
        </w:tc>
        <w:tc>
          <w:tcPr>
            <w:tcW w:type="dxa" w:w="2970"/>
            <w:tcMar>
              <w:top w:type="dxa" w:w="80"/>
              <w:left w:type="dxa" w:w="100"/>
              <w:bottom w:type="dxa" w:w="80"/>
              <w:right w:type="dxa" w:w="100"/>
            </w:tcMar>
          </w:tcPr>
          <w:p>
            <w:r>
              <w:rPr>
                <w:b w:val="false"/>
                <w:bCs w:val="false"/>
                <w:color w:val="222222"/>
                <w:sz w:val="18"/>
                <w:szCs w:val="18"/>
              </w:rPr>
              <w:t xml:space="preserve">750</w:t>
            </w:r>
          </w:p>
        </w:tc>
        <w:tc>
          <w:tcPr>
            <w:tcW w:type="dxa" w:w="2970"/>
            <w:tcMar>
              <w:top w:type="dxa" w:w="80"/>
              <w:left w:type="dxa" w:w="100"/>
              <w:bottom w:type="dxa" w:w="80"/>
              <w:right w:type="dxa" w:w="100"/>
            </w:tcMar>
          </w:tcPr>
          <w:p>
            <w:r>
              <w:rPr>
                <w:b w:val="false"/>
                <w:bCs w:val="false"/>
                <w:color w:val="222222"/>
                <w:sz w:val="18"/>
                <w:szCs w:val="18"/>
              </w:rPr>
              <w:t xml:space="preserve">800–870</w:t>
            </w:r>
          </w:p>
        </w:tc>
      </w:tr>
      <w:tr>
        <w:tc>
          <w:tcPr>
            <w:tcW w:type="dxa" w:w="3060"/>
            <w:tcMar>
              <w:top w:type="dxa" w:w="80"/>
              <w:left w:type="dxa" w:w="100"/>
              <w:bottom w:type="dxa" w:w="80"/>
              <w:right w:type="dxa" w:w="100"/>
            </w:tcMar>
          </w:tcPr>
          <w:p>
            <w:r>
              <w:rPr>
                <w:b/>
                <w:bCs/>
                <w:color w:val="222222"/>
                <w:sz w:val="18"/>
                <w:szCs w:val="18"/>
              </w:rPr>
              <w:t xml:space="preserve">OBC-NCL</w:t>
            </w:r>
          </w:p>
        </w:tc>
        <w:tc>
          <w:tcPr>
            <w:tcW w:type="dxa" w:w="2970"/>
            <w:tcMar>
              <w:top w:type="dxa" w:w="80"/>
              <w:left w:type="dxa" w:w="100"/>
              <w:bottom w:type="dxa" w:w="80"/>
              <w:right w:type="dxa" w:w="100"/>
            </w:tcMar>
          </w:tcPr>
          <w:p>
            <w:r>
              <w:rPr>
                <w:b w:val="false"/>
                <w:bCs w:val="false"/>
                <w:color w:val="222222"/>
                <w:sz w:val="18"/>
                <w:szCs w:val="18"/>
              </w:rPr>
              <w:t xml:space="preserve">675</w:t>
            </w:r>
          </w:p>
        </w:tc>
        <w:tc>
          <w:tcPr>
            <w:tcW w:type="dxa" w:w="2970"/>
            <w:tcMar>
              <w:top w:type="dxa" w:w="80"/>
              <w:left w:type="dxa" w:w="100"/>
              <w:bottom w:type="dxa" w:w="80"/>
              <w:right w:type="dxa" w:w="100"/>
            </w:tcMar>
          </w:tcPr>
          <w:p>
            <w:r>
              <w:rPr>
                <w:b w:val="false"/>
                <w:bCs w:val="false"/>
                <w:color w:val="222222"/>
                <w:sz w:val="18"/>
                <w:szCs w:val="18"/>
              </w:rPr>
              <w:t xml:space="preserve">800–820 (projected) / ~720–770 (by historical ratio)</w:t>
            </w:r>
          </w:p>
        </w:tc>
      </w:tr>
      <w:tr>
        <w:tc>
          <w:tcPr>
            <w:tcW w:type="dxa" w:w="3060"/>
            <w:tcMar>
              <w:top w:type="dxa" w:w="80"/>
              <w:left w:type="dxa" w:w="100"/>
              <w:bottom w:type="dxa" w:w="80"/>
              <w:right w:type="dxa" w:w="100"/>
            </w:tcMar>
          </w:tcPr>
          <w:p>
            <w:r>
              <w:rPr>
                <w:b/>
                <w:bCs/>
                <w:color w:val="222222"/>
                <w:sz w:val="18"/>
                <w:szCs w:val="18"/>
              </w:rPr>
              <w:t xml:space="preserve">SC / ST</w:t>
            </w:r>
          </w:p>
        </w:tc>
        <w:tc>
          <w:tcPr>
            <w:tcW w:type="dxa" w:w="2970"/>
            <w:tcMar>
              <w:top w:type="dxa" w:w="80"/>
              <w:left w:type="dxa" w:w="100"/>
              <w:bottom w:type="dxa" w:w="80"/>
              <w:right w:type="dxa" w:w="100"/>
            </w:tcMar>
          </w:tcPr>
          <w:p>
            <w:r>
              <w:rPr>
                <w:b w:val="false"/>
                <w:bCs w:val="false"/>
                <w:color w:val="222222"/>
                <w:sz w:val="18"/>
                <w:szCs w:val="18"/>
              </w:rPr>
              <w:t xml:space="preserve">500</w:t>
            </w:r>
          </w:p>
        </w:tc>
        <w:tc>
          <w:tcPr>
            <w:tcW w:type="dxa" w:w="2970"/>
            <w:tcMar>
              <w:top w:type="dxa" w:w="80"/>
              <w:left w:type="dxa" w:w="100"/>
              <w:bottom w:type="dxa" w:w="80"/>
              <w:right w:type="dxa" w:w="100"/>
            </w:tcMar>
          </w:tcPr>
          <w:p>
            <w:r>
              <w:rPr>
                <w:b w:val="false"/>
                <w:bCs w:val="false"/>
                <w:color w:val="222222"/>
                <w:sz w:val="18"/>
                <w:szCs w:val="18"/>
              </w:rPr>
              <w:t xml:space="preserve">680–720</w:t>
            </w:r>
          </w:p>
        </w:tc>
      </w:tr>
    </w:tbl>
    <w:p>
      <w:pPr>
        <w:spacing w:after="160"/>
      </w:pPr>
    </w:p>
    <w:p>
      <w:pPr>
        <w:pStyle w:val="Heading1"/>
        <w:spacing w:after="140" w:before="280"/>
      </w:pPr>
      <w:r>
        <w:t xml:space="preserve">Where IIT Bombay sits versus other top IITs</w:t>
      </w:r>
    </w:p>
    <w:p>
      <w:pPr>
        <w:spacing w:after="120"/>
      </w:pPr>
      <w:r>
        <w:t xml:space="preserve">For top IITs (IIT Bombay, IIT Delhi, IIT Madras, IIT Kanpur), expect a CSE cutoff range of 750–900 for General, versus 650–780 for newer/lower IITs, 450–550 for top NITs, and 400–500 for other NITs. IIT Madras, IIT Kanpur and IIT Kharagpur tend to run slightly lower, around 760–830 for General. So among the “big” IITs, Bombay and Delhi are usually at or near the top of the cutoff range for CSE.</w:t>
      </w:r>
    </w:p>
    <w:tbl>
      <w:tblPr>
        <w:tblW w:type="dxa" w:w="9000"/>
        <w:tblBorders>
          <w:top w:val="single" w:color="B8C7CE" w:sz="4"/>
          <w:left w:val="single" w:color="B8C7CE" w:sz="4"/>
          <w:bottom w:val="single" w:color="B8C7CE" w:sz="4"/>
          <w:right w:val="single" w:color="B8C7CE" w:sz="4"/>
          <w:insideH w:val="single" w:color="B8C7CE" w:sz="4"/>
          <w:insideV w:val="single" w:color="B8C7CE" w:sz="4"/>
        </w:tblBorders>
      </w:tblPr>
      <w:tblGrid>
        <w:gridCol w:w="4950"/>
        <w:gridCol w:w="4050"/>
      </w:tblGrid>
      <w:tr>
        <w:trPr>
          <w:tblHeader/>
        </w:trPr>
        <w:tc>
          <w:tcPr>
            <w:tcW w:type="dxa" w:w="4950"/>
            <w:shd w:fill="1F3A5F" w:val="clear"/>
            <w:tcMar>
              <w:top w:type="dxa" w:w="80"/>
              <w:left w:type="dxa" w:w="100"/>
              <w:bottom w:type="dxa" w:w="80"/>
              <w:right w:type="dxa" w:w="100"/>
            </w:tcMar>
          </w:tcPr>
          <w:p>
            <w:r>
              <w:rPr>
                <w:b/>
                <w:bCs/>
                <w:color w:val="FFFFFF"/>
                <w:sz w:val="18"/>
                <w:szCs w:val="18"/>
              </w:rPr>
              <w:t xml:space="preserve">Tier</w:t>
            </w:r>
          </w:p>
        </w:tc>
        <w:tc>
          <w:tcPr>
            <w:tcW w:type="dxa" w:w="4050"/>
            <w:shd w:fill="1F3A5F" w:val="clear"/>
            <w:tcMar>
              <w:top w:type="dxa" w:w="80"/>
              <w:left w:type="dxa" w:w="100"/>
              <w:bottom w:type="dxa" w:w="80"/>
              <w:right w:type="dxa" w:w="100"/>
            </w:tcMar>
          </w:tcPr>
          <w:p>
            <w:r>
              <w:rPr>
                <w:b/>
                <w:bCs/>
                <w:color w:val="FFFFFF"/>
                <w:sz w:val="18"/>
                <w:szCs w:val="18"/>
              </w:rPr>
              <w:t xml:space="preserve">Typical CSE cutoff range (General)</w:t>
            </w:r>
          </w:p>
        </w:tc>
      </w:tr>
      <w:tr>
        <w:tc>
          <w:tcPr>
            <w:tcW w:type="dxa" w:w="4950"/>
            <w:tcMar>
              <w:top w:type="dxa" w:w="80"/>
              <w:left w:type="dxa" w:w="100"/>
              <w:bottom w:type="dxa" w:w="80"/>
              <w:right w:type="dxa" w:w="100"/>
            </w:tcMar>
          </w:tcPr>
          <w:p>
            <w:r>
              <w:rPr>
                <w:b/>
                <w:bCs/>
                <w:color w:val="222222"/>
                <w:sz w:val="18"/>
                <w:szCs w:val="18"/>
              </w:rPr>
              <w:t xml:space="preserve">Top IITs (Bombay, Delhi, Madras, Kanpur)</w:t>
            </w:r>
          </w:p>
        </w:tc>
        <w:tc>
          <w:tcPr>
            <w:tcW w:type="dxa" w:w="4050"/>
            <w:tcMar>
              <w:top w:type="dxa" w:w="80"/>
              <w:left w:type="dxa" w:w="100"/>
              <w:bottom w:type="dxa" w:w="80"/>
              <w:right w:type="dxa" w:w="100"/>
            </w:tcMar>
          </w:tcPr>
          <w:p>
            <w:r>
              <w:rPr>
                <w:b w:val="false"/>
                <w:bCs w:val="false"/>
                <w:color w:val="222222"/>
                <w:sz w:val="18"/>
                <w:szCs w:val="18"/>
              </w:rPr>
              <w:t xml:space="preserve">750–900</w:t>
            </w:r>
          </w:p>
        </w:tc>
      </w:tr>
      <w:tr>
        <w:tc>
          <w:tcPr>
            <w:tcW w:type="dxa" w:w="4950"/>
            <w:tcMar>
              <w:top w:type="dxa" w:w="80"/>
              <w:left w:type="dxa" w:w="100"/>
              <w:bottom w:type="dxa" w:w="80"/>
              <w:right w:type="dxa" w:w="100"/>
            </w:tcMar>
          </w:tcPr>
          <w:p>
            <w:r>
              <w:rPr>
                <w:b/>
                <w:bCs/>
                <w:color w:val="222222"/>
                <w:sz w:val="18"/>
                <w:szCs w:val="18"/>
              </w:rPr>
              <w:t xml:space="preserve">Other/newer IITs</w:t>
            </w:r>
          </w:p>
        </w:tc>
        <w:tc>
          <w:tcPr>
            <w:tcW w:type="dxa" w:w="4050"/>
            <w:tcMar>
              <w:top w:type="dxa" w:w="80"/>
              <w:left w:type="dxa" w:w="100"/>
              <w:bottom w:type="dxa" w:w="80"/>
              <w:right w:type="dxa" w:w="100"/>
            </w:tcMar>
          </w:tcPr>
          <w:p>
            <w:r>
              <w:rPr>
                <w:b w:val="false"/>
                <w:bCs w:val="false"/>
                <w:color w:val="222222"/>
                <w:sz w:val="18"/>
                <w:szCs w:val="18"/>
              </w:rPr>
              <w:t xml:space="preserve">650–780</w:t>
            </w:r>
          </w:p>
        </w:tc>
      </w:tr>
      <w:tr>
        <w:tc>
          <w:tcPr>
            <w:tcW w:type="dxa" w:w="4950"/>
            <w:tcMar>
              <w:top w:type="dxa" w:w="80"/>
              <w:left w:type="dxa" w:w="100"/>
              <w:bottom w:type="dxa" w:w="80"/>
              <w:right w:type="dxa" w:w="100"/>
            </w:tcMar>
          </w:tcPr>
          <w:p>
            <w:r>
              <w:rPr>
                <w:b/>
                <w:bCs/>
                <w:color w:val="222222"/>
                <w:sz w:val="18"/>
                <w:szCs w:val="18"/>
              </w:rPr>
              <w:t xml:space="preserve">Top NITs (Trichy, Warangal, Surathkal)</w:t>
            </w:r>
          </w:p>
        </w:tc>
        <w:tc>
          <w:tcPr>
            <w:tcW w:type="dxa" w:w="4050"/>
            <w:tcMar>
              <w:top w:type="dxa" w:w="80"/>
              <w:left w:type="dxa" w:w="100"/>
              <w:bottom w:type="dxa" w:w="80"/>
              <w:right w:type="dxa" w:w="100"/>
            </w:tcMar>
          </w:tcPr>
          <w:p>
            <w:r>
              <w:rPr>
                <w:b w:val="false"/>
                <w:bCs w:val="false"/>
                <w:color w:val="222222"/>
                <w:sz w:val="18"/>
                <w:szCs w:val="18"/>
              </w:rPr>
              <w:t xml:space="preserve">450–550</w:t>
            </w:r>
          </w:p>
        </w:tc>
      </w:tr>
      <w:tr>
        <w:tc>
          <w:tcPr>
            <w:tcW w:type="dxa" w:w="4950"/>
            <w:tcMar>
              <w:top w:type="dxa" w:w="80"/>
              <w:left w:type="dxa" w:w="100"/>
              <w:bottom w:type="dxa" w:w="80"/>
              <w:right w:type="dxa" w:w="100"/>
            </w:tcMar>
          </w:tcPr>
          <w:p>
            <w:r>
              <w:rPr>
                <w:b/>
                <w:bCs/>
                <w:color w:val="222222"/>
                <w:sz w:val="18"/>
                <w:szCs w:val="18"/>
              </w:rPr>
              <w:t xml:space="preserve">Other NITs</w:t>
            </w:r>
          </w:p>
        </w:tc>
        <w:tc>
          <w:tcPr>
            <w:tcW w:type="dxa" w:w="4050"/>
            <w:tcMar>
              <w:top w:type="dxa" w:w="80"/>
              <w:left w:type="dxa" w:w="100"/>
              <w:bottom w:type="dxa" w:w="80"/>
              <w:right w:type="dxa" w:w="100"/>
            </w:tcMar>
          </w:tcPr>
          <w:p>
            <w:r>
              <w:rPr>
                <w:b w:val="false"/>
                <w:bCs w:val="false"/>
                <w:color w:val="222222"/>
                <w:sz w:val="18"/>
                <w:szCs w:val="18"/>
              </w:rPr>
              <w:t xml:space="preserve">400–500</w:t>
            </w:r>
          </w:p>
        </w:tc>
      </w:tr>
    </w:tbl>
    <w:p>
      <w:pPr>
        <w:spacing w:after="160"/>
      </w:pPr>
    </w:p>
    <w:p>
      <w:pPr>
        <w:pStyle w:val="Heading1"/>
        <w:spacing w:after="140" w:before="280"/>
      </w:pPr>
      <w:r>
        <w:t xml:space="preserve">Converting score to marks</w:t>
      </w:r>
    </w:p>
    <w:p>
      <w:pPr>
        <w:spacing w:after="120"/>
      </w:pPr>
      <w:r>
        <w:t xml:space="preserve">A safe GATE score of 800+ on the 1000-point scale corresponds to roughly 52–65 marks out of 100, depending on how hard that year's paper was. For the higher end some sources target (850+), you're realistically looking at needing to be solidly in the 60s out of 100 — which means very few errors across GA plus both your CS and DA papers' cores, not just “clearing” the syllabus.</w:t>
      </w:r>
    </w:p>
    <w:p>
      <w:pPr>
        <w:pStyle w:val="Heading1"/>
        <w:spacing w:after="140" w:before="280"/>
      </w:pPr>
      <w:r>
        <w:t xml:space="preserve">What this means for your GATE 2027 prep</w:t>
      </w:r>
    </w:p>
    <w:p>
      <w:pPr>
        <w:pStyle w:val="ListParagraph"/>
        <w:numPr>
          <w:ilvl w:val="0"/>
          <w:numId w:val="1"/>
        </w:numPr>
        <w:spacing w:after="80"/>
      </w:pPr>
      <w:r>
        <w:rPr>
          <w:b/>
          <w:bCs/>
        </w:rPr>
        <w:t xml:space="preserve">Prepare to rank, not just pass. </w:t>
      </w:r>
      <w:r>
        <w:t xml:space="preserve">A 750-range score needs near-flawless execution on the easy/medium questions plus real accuracy on the harder numerical ones (cache, pipelining, scheduling, TCP cwnd, etc.) — the calculation-heavy topics already in your CS guide.</w:t>
      </w:r>
    </w:p>
    <w:p>
      <w:pPr>
        <w:pStyle w:val="ListParagraph"/>
        <w:numPr>
          <w:ilvl w:val="0"/>
          <w:numId w:val="1"/>
        </w:numPr>
        <w:spacing w:after="80"/>
      </w:pPr>
      <w:r>
        <w:rPr>
          <w:b/>
          <w:bCs/>
        </w:rPr>
        <w:t xml:space="preserve">DA widens the door. </w:t>
      </w:r>
      <w:r>
        <w:t xml:space="preserve">If CSE at IIT Bombay specifically doesn't come through, Data Science &amp; AI cutoffs at IIT Bombay are projected at 780–880, and other strong IITs (Madras, Kanpur, Kharagpur, Roorkee, Guwahati) have meaningfully lower thresholds — 750+ is generally considered safe for the older/other-tier IITs — giving you a realistic fallback tier.</w:t>
      </w:r>
    </w:p>
    <w:p>
      <w:pPr>
        <w:pStyle w:val="ListParagraph"/>
        <w:numPr>
          <w:ilvl w:val="0"/>
          <w:numId w:val="1"/>
        </w:numPr>
        <w:spacing w:after="80"/>
      </w:pPr>
      <w:r>
        <w:rPr>
          <w:b/>
          <w:bCs/>
        </w:rPr>
        <w:t xml:space="preserve">The interview still matters. </w:t>
      </w:r>
      <w:r>
        <w:t xml:space="preserve">The written test/interview (30% weight) means a borderline GATE score with a strong interview can still get you in, so don't treat the score as the entire outcome.</w:t>
      </w:r>
    </w:p>
    <w:p>
      <w:pPr>
        <w:pStyle w:val="Heading1"/>
        <w:spacing w:after="140" w:before="280"/>
      </w:pPr>
      <w:r>
        <w:t xml:space="preserve">Working target</w:t>
      </w:r>
    </w:p>
    <w:p>
      <w:pPr>
        <w:spacing w:after="120"/>
      </w:pPr>
      <w:r>
        <w:t xml:space="preserve">Since these are all projections until COAP 2027 actually runs, treat 820+ General / roughly 720–770 OBC-NCL as your working target, and revisit the real 2026 closing numbers once they're published (expected around March 2026) for a sharper read before your own cycle.</w:t>
      </w:r>
    </w:p>
    <w:p>
      <w:pPr>
        <w:spacing w:before="300"/>
      </w:pPr>
      <w:r>
        <w:rPr>
          <w:i/>
          <w:iCs/>
          <w:color w:val="555555"/>
          <w:sz w:val="16"/>
          <w:szCs w:val="16"/>
        </w:rPr>
        <w:t xml:space="preserve">Sources: pw.live, collegedunia.com, collegedekho.com, shiksha.com, gateatzeal.com, articles.findmycollege.com (GATE/IIT Bombay cutoff coverage, accessed Oct 2026). Figures are third-party estimates/historical data, not an official IIT Bombay publication.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rFonts w:ascii="Calibri" w:cs="Calibri" w:eastAsia="Calibri" w:hAnsi="Calibri"/>
      <w:b/>
      <w:bCs/>
      <w:color w:val="1F3A5F"/>
      <w:sz w:val="30"/>
      <w:szCs w:val="30"/>
    </w:rPr>
  </w:style>
  <w:style w:type="paragraph" w:styleId="Heading2">
    <w:name w:val="Heading 2"/>
    <w:basedOn w:val="Normal"/>
    <w:next w:val="Normal"/>
    <w:qFormat/>
    <w:pPr>
      <w:spacing w:after="100" w:before="200"/>
    </w:pPr>
    <w:rPr>
      <w:rFonts w:ascii="Calibri" w:cs="Calibri" w:eastAsia="Calibri" w:hAnsi="Calibri"/>
      <w:b/>
      <w:bCs/>
      <w:color w:val="2A7F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2026-10-03T15:06:45.449Z</dcterms:created>
  <dcterms:modified xsi:type="dcterms:W3CDTF">2026-10-03T15:06:45.453Z</dcterms:modified>
</cp:coreProperties>
</file>

<file path=docProps/custom.xml><?xml version="1.0" encoding="utf-8"?>
<Properties xmlns="http://schemas.openxmlformats.org/officeDocument/2006/custom-properties" xmlns:vt="http://schemas.openxmlformats.org/officeDocument/2006/docPropsVTypes"/>
</file>