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BF9647" w14:textId="5AD8CD73" w:rsidR="00846BD5" w:rsidRPr="000D5DE4" w:rsidRDefault="00846BD5" w:rsidP="000D5DE4">
      <w:pPr>
        <w:jc w:val="center"/>
        <w:rPr>
          <w:rFonts w:ascii="Calibri" w:hAnsi="Calibri" w:cs="Calibri"/>
          <w:b/>
          <w:bCs/>
          <w:sz w:val="22"/>
          <w:szCs w:val="22"/>
        </w:rPr>
      </w:pPr>
      <w:r w:rsidRPr="00846BD5">
        <w:rPr>
          <w:rFonts w:ascii="Calibri" w:hAnsi="Calibri" w:cs="Calibri"/>
          <w:b/>
          <w:bCs/>
          <w:sz w:val="22"/>
          <w:szCs w:val="22"/>
        </w:rPr>
        <w:t>Research Protocol: Escape to Learn — Exploring Non-linear Puzzle-Based Learning in Computing Education</w:t>
      </w:r>
    </w:p>
    <w:p w14:paraId="4FB8EB47" w14:textId="71EDF8E0" w:rsidR="00846BD5" w:rsidRPr="000D5DE4" w:rsidRDefault="00846BD5" w:rsidP="000D5DE4">
      <w:pPr>
        <w:pStyle w:val="ListParagraph"/>
        <w:numPr>
          <w:ilvl w:val="0"/>
          <w:numId w:val="14"/>
        </w:numPr>
        <w:spacing w:before="240" w:after="240"/>
        <w:ind w:left="357" w:hanging="357"/>
        <w:rPr>
          <w:rFonts w:ascii="Calibri" w:hAnsi="Calibri" w:cs="Calibri"/>
          <w:b/>
          <w:bCs/>
          <w:sz w:val="22"/>
          <w:szCs w:val="22"/>
        </w:rPr>
      </w:pPr>
      <w:r w:rsidRPr="000D5DE4">
        <w:rPr>
          <w:rFonts w:ascii="Calibri" w:hAnsi="Calibri" w:cs="Calibri"/>
          <w:b/>
          <w:bCs/>
          <w:sz w:val="22"/>
          <w:szCs w:val="22"/>
        </w:rPr>
        <w:t>Introduction and Background</w:t>
      </w:r>
    </w:p>
    <w:p w14:paraId="2B44EBCA" w14:textId="77777777" w:rsidR="000D5DE4" w:rsidRPr="000D5DE4" w:rsidRDefault="000D5DE4" w:rsidP="000D5DE4">
      <w:pPr>
        <w:pStyle w:val="ListParagraph"/>
        <w:spacing w:before="240" w:after="240"/>
        <w:ind w:left="357"/>
        <w:rPr>
          <w:rFonts w:ascii="Calibri" w:hAnsi="Calibri" w:cs="Calibri"/>
          <w:b/>
          <w:bCs/>
          <w:sz w:val="22"/>
          <w:szCs w:val="22"/>
        </w:rPr>
      </w:pPr>
    </w:p>
    <w:p w14:paraId="0426D91D" w14:textId="7A2B66FD" w:rsidR="00846BD5" w:rsidRPr="000D5DE4" w:rsidRDefault="00846BD5" w:rsidP="000D5DE4">
      <w:pPr>
        <w:pStyle w:val="ListParagraph"/>
        <w:numPr>
          <w:ilvl w:val="1"/>
          <w:numId w:val="14"/>
        </w:numPr>
        <w:spacing w:before="240"/>
        <w:ind w:left="720"/>
        <w:rPr>
          <w:rFonts w:ascii="Calibri" w:hAnsi="Calibri" w:cs="Calibri"/>
          <w:b/>
          <w:bCs/>
          <w:sz w:val="22"/>
          <w:szCs w:val="22"/>
        </w:rPr>
      </w:pPr>
      <w:r w:rsidRPr="000D5DE4">
        <w:rPr>
          <w:rFonts w:ascii="Calibri" w:hAnsi="Calibri" w:cs="Calibri"/>
          <w:b/>
          <w:bCs/>
          <w:sz w:val="22"/>
          <w:szCs w:val="22"/>
        </w:rPr>
        <w:t>Rationale</w:t>
      </w:r>
    </w:p>
    <w:p w14:paraId="6163EA9A" w14:textId="77777777" w:rsidR="00846BD5" w:rsidRPr="00846BD5" w:rsidRDefault="00846BD5" w:rsidP="00846BD5">
      <w:pPr>
        <w:jc w:val="both"/>
        <w:rPr>
          <w:rFonts w:ascii="Calibri" w:hAnsi="Calibri" w:cs="Calibri"/>
          <w:sz w:val="22"/>
          <w:szCs w:val="22"/>
        </w:rPr>
      </w:pPr>
      <w:r w:rsidRPr="00846BD5">
        <w:rPr>
          <w:rFonts w:ascii="Calibri" w:hAnsi="Calibri" w:cs="Calibri"/>
          <w:sz w:val="22"/>
          <w:szCs w:val="22"/>
        </w:rPr>
        <w:t>Student engagement and deep conceptual understanding remain challenging in technically demanding subjects like Artificial Intelligence (AI) and Machine Learning (ML). Traditional teaching methods often fail to maintain interest or connect theory to practice effectively. Inspired by escape room pedagogy, this project explores non-linear, puzzle-based learning as a playful and immersive approach to enhance engagement and learning outcomes. There is a gap in scalable, flexible, and subject-specific implementations of such pedagogies, especially integrating gamification alongside traditional methods. This study aims to fill that gap by developing and evaluating unified learning resources embedded with puzzle-based activities across AI/ML curricula.</w:t>
      </w:r>
    </w:p>
    <w:p w14:paraId="512BF135" w14:textId="77777777" w:rsidR="00846BD5" w:rsidRPr="00846BD5" w:rsidRDefault="00846BD5" w:rsidP="000D5DE4">
      <w:pPr>
        <w:pStyle w:val="ListParagraph"/>
        <w:numPr>
          <w:ilvl w:val="1"/>
          <w:numId w:val="14"/>
        </w:numPr>
        <w:spacing w:before="240"/>
        <w:ind w:left="720"/>
        <w:rPr>
          <w:rFonts w:ascii="Calibri" w:hAnsi="Calibri" w:cs="Calibri"/>
          <w:b/>
          <w:bCs/>
          <w:sz w:val="22"/>
          <w:szCs w:val="22"/>
        </w:rPr>
      </w:pPr>
      <w:r w:rsidRPr="00846BD5">
        <w:rPr>
          <w:rFonts w:ascii="Calibri" w:hAnsi="Calibri" w:cs="Calibri"/>
          <w:b/>
          <w:bCs/>
          <w:sz w:val="22"/>
          <w:szCs w:val="22"/>
        </w:rPr>
        <w:t>Literature Review</w:t>
      </w:r>
    </w:p>
    <w:p w14:paraId="1DD1613D" w14:textId="77777777" w:rsidR="00846BD5" w:rsidRPr="00846BD5" w:rsidRDefault="00846BD5" w:rsidP="00846BD5">
      <w:pPr>
        <w:jc w:val="both"/>
        <w:rPr>
          <w:rFonts w:ascii="Calibri" w:hAnsi="Calibri" w:cs="Calibri"/>
          <w:sz w:val="22"/>
          <w:szCs w:val="22"/>
        </w:rPr>
      </w:pPr>
      <w:r w:rsidRPr="00846BD5">
        <w:rPr>
          <w:rFonts w:ascii="Calibri" w:hAnsi="Calibri" w:cs="Calibri"/>
          <w:sz w:val="22"/>
          <w:szCs w:val="22"/>
        </w:rPr>
        <w:t xml:space="preserve">Existing research supports active, game-inspired learning </w:t>
      </w:r>
      <w:proofErr w:type="gramStart"/>
      <w:r w:rsidRPr="00846BD5">
        <w:rPr>
          <w:rFonts w:ascii="Calibri" w:hAnsi="Calibri" w:cs="Calibri"/>
          <w:sz w:val="22"/>
          <w:szCs w:val="22"/>
        </w:rPr>
        <w:t>as a means to</w:t>
      </w:r>
      <w:proofErr w:type="gramEnd"/>
      <w:r w:rsidRPr="00846BD5">
        <w:rPr>
          <w:rFonts w:ascii="Calibri" w:hAnsi="Calibri" w:cs="Calibri"/>
          <w:sz w:val="22"/>
          <w:szCs w:val="22"/>
        </w:rPr>
        <w:t xml:space="preserve"> increase motivation and improve conceptual grasp in STEM fields. Puzzle-based learning aligns well with AI/ML workflows and fosters exploratory, collaborative problem-solving. However, most educational escape room implementations are linear and centrally controlled, limiting authenticity and scalability. Prior studies (e.g., Falkner et al., 2010; Eukel et al., 2020; Gronseth et al., 2025) emphasize the benefits of non-linear, embedded learning activities but highlight the need for further cross-institutional evaluation and adaptation to diverse teaching styles.</w:t>
      </w:r>
    </w:p>
    <w:p w14:paraId="048C129E" w14:textId="77777777" w:rsidR="00846BD5" w:rsidRPr="00846BD5" w:rsidRDefault="00846BD5" w:rsidP="000D5DE4">
      <w:pPr>
        <w:pStyle w:val="ListParagraph"/>
        <w:numPr>
          <w:ilvl w:val="1"/>
          <w:numId w:val="14"/>
        </w:numPr>
        <w:spacing w:before="240"/>
        <w:ind w:left="720"/>
        <w:rPr>
          <w:rFonts w:ascii="Calibri" w:hAnsi="Calibri" w:cs="Calibri"/>
          <w:b/>
          <w:bCs/>
          <w:sz w:val="22"/>
          <w:szCs w:val="22"/>
        </w:rPr>
      </w:pPr>
      <w:r w:rsidRPr="00846BD5">
        <w:rPr>
          <w:rFonts w:ascii="Calibri" w:hAnsi="Calibri" w:cs="Calibri"/>
          <w:b/>
          <w:bCs/>
          <w:sz w:val="22"/>
          <w:szCs w:val="22"/>
        </w:rPr>
        <w:t>Research Questions</w:t>
      </w:r>
    </w:p>
    <w:p w14:paraId="0CB2E662" w14:textId="046C2D05" w:rsidR="00846BD5" w:rsidRPr="00846BD5" w:rsidRDefault="00846BD5" w:rsidP="000D5DE4">
      <w:pPr>
        <w:numPr>
          <w:ilvl w:val="0"/>
          <w:numId w:val="10"/>
        </w:numPr>
        <w:spacing w:after="120" w:line="240" w:lineRule="atLeast"/>
        <w:ind w:left="357" w:hanging="357"/>
        <w:jc w:val="both"/>
        <w:rPr>
          <w:rFonts w:ascii="Calibri" w:hAnsi="Calibri" w:cs="Calibri"/>
          <w:sz w:val="22"/>
          <w:szCs w:val="22"/>
        </w:rPr>
      </w:pPr>
      <w:r w:rsidRPr="00846BD5">
        <w:rPr>
          <w:rFonts w:ascii="Calibri" w:hAnsi="Calibri" w:cs="Calibri"/>
          <w:sz w:val="22"/>
          <w:szCs w:val="22"/>
        </w:rPr>
        <w:t>RQ1: How does the integration of non-linear, puzzle-based activities in AI/ML</w:t>
      </w:r>
      <w:r w:rsidRPr="000D5DE4">
        <w:rPr>
          <w:rFonts w:ascii="Calibri" w:hAnsi="Calibri" w:cs="Calibri"/>
          <w:sz w:val="22"/>
          <w:szCs w:val="22"/>
        </w:rPr>
        <w:t xml:space="preserve"> </w:t>
      </w:r>
      <w:r w:rsidRPr="00846BD5">
        <w:rPr>
          <w:rFonts w:ascii="Calibri" w:hAnsi="Calibri" w:cs="Calibri"/>
          <w:sz w:val="22"/>
          <w:szCs w:val="22"/>
        </w:rPr>
        <w:t>education affect student engagement?</w:t>
      </w:r>
    </w:p>
    <w:p w14:paraId="463CECCE" w14:textId="77777777" w:rsidR="00846BD5" w:rsidRPr="00846BD5" w:rsidRDefault="00846BD5" w:rsidP="000D5DE4">
      <w:pPr>
        <w:numPr>
          <w:ilvl w:val="0"/>
          <w:numId w:val="10"/>
        </w:numPr>
        <w:spacing w:after="120" w:line="240" w:lineRule="atLeast"/>
        <w:ind w:left="357" w:hanging="357"/>
        <w:jc w:val="both"/>
        <w:rPr>
          <w:rFonts w:ascii="Calibri" w:hAnsi="Calibri" w:cs="Calibri"/>
          <w:sz w:val="22"/>
          <w:szCs w:val="22"/>
        </w:rPr>
      </w:pPr>
      <w:r w:rsidRPr="00846BD5">
        <w:rPr>
          <w:rFonts w:ascii="Calibri" w:hAnsi="Calibri" w:cs="Calibri"/>
          <w:sz w:val="22"/>
          <w:szCs w:val="22"/>
        </w:rPr>
        <w:t>RQ2: Does participation in these activities improve students’ conceptual understanding of AI/ML topics?</w:t>
      </w:r>
    </w:p>
    <w:p w14:paraId="2C632EC0" w14:textId="0449EBE3" w:rsidR="00C433C7" w:rsidRPr="000D5DE4" w:rsidRDefault="00846BD5" w:rsidP="000D5DE4">
      <w:pPr>
        <w:numPr>
          <w:ilvl w:val="0"/>
          <w:numId w:val="10"/>
        </w:numPr>
        <w:spacing w:after="120" w:line="240" w:lineRule="atLeast"/>
        <w:ind w:left="357" w:hanging="357"/>
        <w:jc w:val="both"/>
        <w:rPr>
          <w:rFonts w:ascii="Calibri" w:hAnsi="Calibri" w:cs="Calibri"/>
          <w:sz w:val="22"/>
          <w:szCs w:val="22"/>
        </w:rPr>
      </w:pPr>
      <w:r w:rsidRPr="00846BD5">
        <w:rPr>
          <w:rFonts w:ascii="Calibri" w:hAnsi="Calibri" w:cs="Calibri"/>
          <w:sz w:val="22"/>
          <w:szCs w:val="22"/>
        </w:rPr>
        <w:t>RQ3: What barriers and facilitators do educators encounter when implementing this pedagogy, and how do institutional contexts influence delivery?</w:t>
      </w:r>
    </w:p>
    <w:p w14:paraId="78863BB5" w14:textId="40623A0A" w:rsidR="00C433C7" w:rsidRPr="000D5DE4" w:rsidRDefault="00C433C7" w:rsidP="000D5DE4">
      <w:pPr>
        <w:pStyle w:val="ListParagraph"/>
        <w:numPr>
          <w:ilvl w:val="0"/>
          <w:numId w:val="14"/>
        </w:numPr>
        <w:spacing w:before="240" w:after="240"/>
        <w:ind w:left="357" w:hanging="357"/>
        <w:rPr>
          <w:rFonts w:ascii="Calibri" w:hAnsi="Calibri" w:cs="Calibri"/>
          <w:b/>
          <w:bCs/>
          <w:sz w:val="22"/>
          <w:szCs w:val="22"/>
        </w:rPr>
      </w:pPr>
      <w:r w:rsidRPr="00C433C7">
        <w:rPr>
          <w:rFonts w:ascii="Calibri" w:hAnsi="Calibri" w:cs="Calibri"/>
          <w:b/>
          <w:bCs/>
          <w:sz w:val="22"/>
          <w:szCs w:val="22"/>
        </w:rPr>
        <w:t>Study Design and Methodology</w:t>
      </w:r>
    </w:p>
    <w:p w14:paraId="0ED2CF72" w14:textId="77777777" w:rsidR="000D5DE4" w:rsidRPr="00C433C7" w:rsidRDefault="000D5DE4" w:rsidP="000D5DE4">
      <w:pPr>
        <w:pStyle w:val="ListParagraph"/>
        <w:spacing w:before="240" w:after="240"/>
        <w:ind w:left="357"/>
        <w:rPr>
          <w:rFonts w:ascii="Calibri" w:hAnsi="Calibri" w:cs="Calibri"/>
          <w:b/>
          <w:bCs/>
          <w:sz w:val="22"/>
          <w:szCs w:val="22"/>
        </w:rPr>
      </w:pPr>
    </w:p>
    <w:p w14:paraId="50AD93E7" w14:textId="77777777" w:rsidR="00C433C7" w:rsidRPr="00C433C7" w:rsidRDefault="00C433C7" w:rsidP="000D5DE4">
      <w:pPr>
        <w:pStyle w:val="ListParagraph"/>
        <w:numPr>
          <w:ilvl w:val="1"/>
          <w:numId w:val="14"/>
        </w:numPr>
        <w:spacing w:before="240"/>
        <w:ind w:left="720"/>
        <w:rPr>
          <w:rFonts w:ascii="Calibri" w:hAnsi="Calibri" w:cs="Calibri"/>
          <w:b/>
          <w:bCs/>
          <w:sz w:val="22"/>
          <w:szCs w:val="22"/>
        </w:rPr>
      </w:pPr>
      <w:r w:rsidRPr="00C433C7">
        <w:rPr>
          <w:rFonts w:ascii="Calibri" w:hAnsi="Calibri" w:cs="Calibri"/>
          <w:b/>
          <w:bCs/>
          <w:sz w:val="22"/>
          <w:szCs w:val="22"/>
        </w:rPr>
        <w:t>Study Design</w:t>
      </w:r>
    </w:p>
    <w:p w14:paraId="05EED1F2" w14:textId="654B94A2" w:rsidR="000D5DE4" w:rsidRPr="00C433C7" w:rsidRDefault="00C433C7" w:rsidP="000D5DE4">
      <w:pPr>
        <w:jc w:val="both"/>
        <w:rPr>
          <w:rFonts w:ascii="Calibri" w:hAnsi="Calibri" w:cs="Calibri"/>
          <w:sz w:val="22"/>
          <w:szCs w:val="22"/>
        </w:rPr>
      </w:pPr>
      <w:r w:rsidRPr="00C433C7">
        <w:rPr>
          <w:rFonts w:ascii="Calibri" w:hAnsi="Calibri" w:cs="Calibri"/>
          <w:sz w:val="22"/>
          <w:szCs w:val="22"/>
        </w:rPr>
        <w:t>This is a mixed-methods, multi-institutional collaborative study involving the co-design, pilot testing, and evaluation of non-linear, puzzle-based learning activities embedded in AI/ML curricula. Both quantitative (pre/post assessments, surveys) and qualitative (educator reflections, student feedback) data will be collected.</w:t>
      </w:r>
    </w:p>
    <w:p w14:paraId="3099D8E5" w14:textId="77777777" w:rsidR="00C433C7" w:rsidRPr="00C433C7" w:rsidRDefault="00C433C7" w:rsidP="000D5DE4">
      <w:pPr>
        <w:pStyle w:val="ListParagraph"/>
        <w:numPr>
          <w:ilvl w:val="1"/>
          <w:numId w:val="14"/>
        </w:numPr>
        <w:spacing w:before="240"/>
        <w:ind w:left="720"/>
        <w:rPr>
          <w:rFonts w:ascii="Calibri" w:hAnsi="Calibri" w:cs="Calibri"/>
          <w:b/>
          <w:bCs/>
          <w:sz w:val="22"/>
          <w:szCs w:val="22"/>
        </w:rPr>
      </w:pPr>
      <w:r w:rsidRPr="00C433C7">
        <w:rPr>
          <w:rFonts w:ascii="Calibri" w:hAnsi="Calibri" w:cs="Calibri"/>
          <w:b/>
          <w:bCs/>
          <w:sz w:val="22"/>
          <w:szCs w:val="22"/>
        </w:rPr>
        <w:t>Participants</w:t>
      </w:r>
    </w:p>
    <w:p w14:paraId="326B4FBD" w14:textId="39E95D1B" w:rsidR="00C433C7" w:rsidRPr="000D5DE4" w:rsidRDefault="00C433C7" w:rsidP="00C433C7">
      <w:pPr>
        <w:jc w:val="both"/>
        <w:rPr>
          <w:rFonts w:ascii="Calibri" w:hAnsi="Calibri" w:cs="Calibri"/>
          <w:sz w:val="22"/>
          <w:szCs w:val="22"/>
        </w:rPr>
      </w:pPr>
      <w:r w:rsidRPr="00C433C7">
        <w:rPr>
          <w:rFonts w:ascii="Calibri" w:hAnsi="Calibri" w:cs="Calibri"/>
          <w:sz w:val="22"/>
          <w:szCs w:val="22"/>
        </w:rPr>
        <w:t xml:space="preserve">The target population includes AI/ML students and educators across participating institutions in Great Britain. Participants will be selected from course cohorts delivering the standardized six-lecture </w:t>
      </w:r>
      <w:r w:rsidRPr="00C433C7">
        <w:rPr>
          <w:rFonts w:ascii="Calibri" w:hAnsi="Calibri" w:cs="Calibri"/>
          <w:sz w:val="22"/>
          <w:szCs w:val="22"/>
        </w:rPr>
        <w:lastRenderedPageBreak/>
        <w:t>curriculum developed for this project. Sampling will aim to balance representation across regions (England, Scotland, Wales, Ireland) to ensure generalizability.</w:t>
      </w:r>
    </w:p>
    <w:p w14:paraId="266798A2" w14:textId="7A14FE61" w:rsidR="000D5DE4" w:rsidRPr="000D5DE4" w:rsidRDefault="00C433C7" w:rsidP="000D5DE4">
      <w:pPr>
        <w:pStyle w:val="ListParagraph"/>
        <w:numPr>
          <w:ilvl w:val="1"/>
          <w:numId w:val="14"/>
        </w:numPr>
        <w:spacing w:before="240"/>
        <w:ind w:left="720"/>
        <w:rPr>
          <w:rFonts w:ascii="Calibri" w:hAnsi="Calibri" w:cs="Calibri"/>
          <w:b/>
          <w:bCs/>
          <w:sz w:val="22"/>
          <w:szCs w:val="22"/>
        </w:rPr>
      </w:pPr>
      <w:r w:rsidRPr="00C433C7">
        <w:rPr>
          <w:rFonts w:ascii="Calibri" w:hAnsi="Calibri" w:cs="Calibri"/>
          <w:b/>
          <w:bCs/>
          <w:sz w:val="22"/>
          <w:szCs w:val="22"/>
        </w:rPr>
        <w:t>Minimum Protocol for Project Participants</w:t>
      </w:r>
    </w:p>
    <w:p w14:paraId="3D369862" w14:textId="77777777" w:rsidR="00C433C7" w:rsidRPr="00C433C7" w:rsidRDefault="00C433C7" w:rsidP="00C433C7">
      <w:pPr>
        <w:numPr>
          <w:ilvl w:val="0"/>
          <w:numId w:val="15"/>
        </w:numPr>
        <w:ind w:left="357" w:hanging="357"/>
        <w:jc w:val="both"/>
        <w:rPr>
          <w:rFonts w:ascii="Calibri" w:hAnsi="Calibri" w:cs="Calibri"/>
          <w:sz w:val="22"/>
          <w:szCs w:val="22"/>
        </w:rPr>
      </w:pPr>
      <w:r w:rsidRPr="00C433C7">
        <w:rPr>
          <w:rFonts w:ascii="Calibri" w:hAnsi="Calibri" w:cs="Calibri"/>
          <w:b/>
          <w:bCs/>
          <w:sz w:val="22"/>
          <w:szCs w:val="22"/>
        </w:rPr>
        <w:t>Consistency in Sample Variation</w:t>
      </w:r>
    </w:p>
    <w:p w14:paraId="7280B7C6" w14:textId="77777777" w:rsidR="00C433C7" w:rsidRPr="00C433C7" w:rsidRDefault="00C433C7" w:rsidP="00B97AFB">
      <w:pPr>
        <w:numPr>
          <w:ilvl w:val="0"/>
          <w:numId w:val="21"/>
        </w:numPr>
        <w:spacing w:line="240" w:lineRule="atLeast"/>
        <w:ind w:left="714" w:hanging="357"/>
        <w:jc w:val="both"/>
        <w:rPr>
          <w:rFonts w:ascii="Calibri" w:hAnsi="Calibri" w:cs="Calibri"/>
          <w:sz w:val="22"/>
          <w:szCs w:val="22"/>
        </w:rPr>
      </w:pPr>
      <w:r w:rsidRPr="00C433C7">
        <w:rPr>
          <w:rFonts w:ascii="Calibri" w:hAnsi="Calibri" w:cs="Calibri"/>
          <w:sz w:val="22"/>
          <w:szCs w:val="22"/>
        </w:rPr>
        <w:t>Variation of samples across different locations must be controlled and balanced.</w:t>
      </w:r>
    </w:p>
    <w:p w14:paraId="4F170E68" w14:textId="77777777" w:rsidR="00C433C7" w:rsidRPr="00C433C7" w:rsidRDefault="00C433C7" w:rsidP="00B97AFB">
      <w:pPr>
        <w:numPr>
          <w:ilvl w:val="0"/>
          <w:numId w:val="21"/>
        </w:numPr>
        <w:spacing w:line="240" w:lineRule="atLeast"/>
        <w:ind w:left="714" w:hanging="357"/>
        <w:jc w:val="both"/>
        <w:rPr>
          <w:rFonts w:ascii="Calibri" w:hAnsi="Calibri" w:cs="Calibri"/>
          <w:sz w:val="22"/>
          <w:szCs w:val="22"/>
        </w:rPr>
      </w:pPr>
      <w:r w:rsidRPr="00C433C7">
        <w:rPr>
          <w:rFonts w:ascii="Calibri" w:hAnsi="Calibri" w:cs="Calibri"/>
          <w:sz w:val="22"/>
          <w:szCs w:val="22"/>
        </w:rPr>
        <w:t>Ensure proportional representation of samples from different regions (e.g., England, Ireland, Scotland, Wales) to avoid bias.</w:t>
      </w:r>
    </w:p>
    <w:p w14:paraId="42907FC7" w14:textId="77777777" w:rsidR="00C433C7" w:rsidRPr="00C433C7" w:rsidRDefault="00C433C7" w:rsidP="00B97AFB">
      <w:pPr>
        <w:numPr>
          <w:ilvl w:val="0"/>
          <w:numId w:val="21"/>
        </w:numPr>
        <w:spacing w:line="240" w:lineRule="atLeast"/>
        <w:ind w:left="714" w:hanging="357"/>
        <w:jc w:val="both"/>
        <w:rPr>
          <w:rFonts w:ascii="Calibri" w:hAnsi="Calibri" w:cs="Calibri"/>
          <w:sz w:val="22"/>
          <w:szCs w:val="22"/>
        </w:rPr>
      </w:pPr>
      <w:r w:rsidRPr="00C433C7">
        <w:rPr>
          <w:rFonts w:ascii="Calibri" w:hAnsi="Calibri" w:cs="Calibri"/>
          <w:sz w:val="22"/>
          <w:szCs w:val="22"/>
        </w:rPr>
        <w:t>Aim for representative sample distribution to support generalized conclusions.</w:t>
      </w:r>
    </w:p>
    <w:p w14:paraId="3C82C086" w14:textId="77777777" w:rsidR="00C433C7" w:rsidRPr="00C433C7" w:rsidRDefault="00C433C7" w:rsidP="00C433C7">
      <w:pPr>
        <w:numPr>
          <w:ilvl w:val="0"/>
          <w:numId w:val="15"/>
        </w:numPr>
        <w:ind w:left="357" w:hanging="357"/>
        <w:jc w:val="both"/>
        <w:rPr>
          <w:rFonts w:ascii="Calibri" w:hAnsi="Calibri" w:cs="Calibri"/>
          <w:sz w:val="22"/>
          <w:szCs w:val="22"/>
        </w:rPr>
      </w:pPr>
      <w:r w:rsidRPr="00C433C7">
        <w:rPr>
          <w:rFonts w:ascii="Calibri" w:hAnsi="Calibri" w:cs="Calibri"/>
          <w:b/>
          <w:bCs/>
          <w:sz w:val="22"/>
          <w:szCs w:val="22"/>
        </w:rPr>
        <w:t>Unified Learning Material Development</w:t>
      </w:r>
    </w:p>
    <w:p w14:paraId="7F20963D" w14:textId="77777777" w:rsidR="00C433C7" w:rsidRPr="00C433C7" w:rsidRDefault="00C433C7" w:rsidP="00B97AFB">
      <w:pPr>
        <w:numPr>
          <w:ilvl w:val="0"/>
          <w:numId w:val="22"/>
        </w:numPr>
        <w:spacing w:line="240" w:lineRule="atLeast"/>
        <w:ind w:left="714" w:hanging="357"/>
        <w:jc w:val="both"/>
        <w:rPr>
          <w:rFonts w:ascii="Calibri" w:hAnsi="Calibri" w:cs="Calibri"/>
          <w:sz w:val="22"/>
          <w:szCs w:val="22"/>
        </w:rPr>
      </w:pPr>
      <w:r w:rsidRPr="00C433C7">
        <w:rPr>
          <w:rFonts w:ascii="Calibri" w:hAnsi="Calibri" w:cs="Calibri"/>
          <w:sz w:val="22"/>
          <w:szCs w:val="22"/>
        </w:rPr>
        <w:t>Develop a standardized six-lecture course structure to be uniformly applied across all participant locations.</w:t>
      </w:r>
    </w:p>
    <w:p w14:paraId="20309FE4" w14:textId="77777777" w:rsidR="00C433C7" w:rsidRPr="00C433C7" w:rsidRDefault="00C433C7" w:rsidP="00B97AFB">
      <w:pPr>
        <w:numPr>
          <w:ilvl w:val="0"/>
          <w:numId w:val="22"/>
        </w:numPr>
        <w:spacing w:line="240" w:lineRule="atLeast"/>
        <w:ind w:left="714" w:hanging="357"/>
        <w:jc w:val="both"/>
        <w:rPr>
          <w:rFonts w:ascii="Calibri" w:hAnsi="Calibri" w:cs="Calibri"/>
          <w:sz w:val="22"/>
          <w:szCs w:val="22"/>
        </w:rPr>
      </w:pPr>
      <w:r w:rsidRPr="00C433C7">
        <w:rPr>
          <w:rFonts w:ascii="Calibri" w:hAnsi="Calibri" w:cs="Calibri"/>
          <w:sz w:val="22"/>
          <w:szCs w:val="22"/>
        </w:rPr>
        <w:t>All participants must adhere to this fixed course structure to ensure consistency in learning objectives and content delivery.</w:t>
      </w:r>
    </w:p>
    <w:p w14:paraId="0472BFE1" w14:textId="77777777" w:rsidR="00C433C7" w:rsidRPr="00C433C7" w:rsidRDefault="00C433C7" w:rsidP="00C433C7">
      <w:pPr>
        <w:numPr>
          <w:ilvl w:val="0"/>
          <w:numId w:val="15"/>
        </w:numPr>
        <w:ind w:left="357" w:hanging="357"/>
        <w:jc w:val="both"/>
        <w:rPr>
          <w:rFonts w:ascii="Calibri" w:hAnsi="Calibri" w:cs="Calibri"/>
          <w:sz w:val="22"/>
          <w:szCs w:val="22"/>
        </w:rPr>
      </w:pPr>
      <w:r w:rsidRPr="00C433C7">
        <w:rPr>
          <w:rFonts w:ascii="Calibri" w:hAnsi="Calibri" w:cs="Calibri"/>
          <w:b/>
          <w:bCs/>
          <w:sz w:val="22"/>
          <w:szCs w:val="22"/>
        </w:rPr>
        <w:t>Division of Teaching Materials by Methodology</w:t>
      </w:r>
    </w:p>
    <w:p w14:paraId="2F6EE340" w14:textId="77777777" w:rsidR="00CA11C7" w:rsidRPr="000D5DE4" w:rsidRDefault="00C433C7" w:rsidP="00B97AFB">
      <w:pPr>
        <w:numPr>
          <w:ilvl w:val="0"/>
          <w:numId w:val="23"/>
        </w:numPr>
        <w:spacing w:line="240" w:lineRule="atLeast"/>
        <w:ind w:hanging="357"/>
        <w:jc w:val="both"/>
        <w:rPr>
          <w:rFonts w:ascii="Calibri" w:hAnsi="Calibri" w:cs="Calibri"/>
          <w:sz w:val="22"/>
          <w:szCs w:val="22"/>
        </w:rPr>
      </w:pPr>
      <w:r w:rsidRPr="00C433C7">
        <w:rPr>
          <w:rFonts w:ascii="Calibri" w:hAnsi="Calibri" w:cs="Calibri"/>
          <w:sz w:val="22"/>
          <w:szCs w:val="22"/>
        </w:rPr>
        <w:t>Clearly categorize course materials into two methodologies:</w:t>
      </w:r>
    </w:p>
    <w:p w14:paraId="28211CBB" w14:textId="77777777" w:rsidR="00CA11C7" w:rsidRPr="000D5DE4" w:rsidRDefault="00C433C7" w:rsidP="00B97AFB">
      <w:pPr>
        <w:pStyle w:val="ListParagraph"/>
        <w:numPr>
          <w:ilvl w:val="0"/>
          <w:numId w:val="25"/>
        </w:numPr>
        <w:spacing w:line="240" w:lineRule="atLeast"/>
        <w:ind w:hanging="357"/>
        <w:jc w:val="both"/>
        <w:rPr>
          <w:rFonts w:ascii="Calibri" w:hAnsi="Calibri" w:cs="Calibri"/>
          <w:sz w:val="22"/>
          <w:szCs w:val="22"/>
        </w:rPr>
      </w:pPr>
      <w:r w:rsidRPr="000D5DE4">
        <w:rPr>
          <w:rFonts w:ascii="Calibri" w:hAnsi="Calibri" w:cs="Calibri"/>
          <w:sz w:val="22"/>
          <w:szCs w:val="22"/>
        </w:rPr>
        <w:t>Traditional Teaching Materials: Conventional lectures and assessments.</w:t>
      </w:r>
    </w:p>
    <w:p w14:paraId="3F820D94" w14:textId="69D59B6F" w:rsidR="00CA11C7" w:rsidRPr="000D5DE4" w:rsidRDefault="00C433C7" w:rsidP="00B97AFB">
      <w:pPr>
        <w:pStyle w:val="ListParagraph"/>
        <w:numPr>
          <w:ilvl w:val="0"/>
          <w:numId w:val="25"/>
        </w:numPr>
        <w:spacing w:line="240" w:lineRule="atLeast"/>
        <w:ind w:hanging="357"/>
        <w:jc w:val="both"/>
        <w:rPr>
          <w:rFonts w:ascii="Calibri" w:hAnsi="Calibri" w:cs="Calibri"/>
          <w:sz w:val="22"/>
          <w:szCs w:val="22"/>
        </w:rPr>
      </w:pPr>
      <w:r w:rsidRPr="000D5DE4">
        <w:rPr>
          <w:rFonts w:ascii="Calibri" w:hAnsi="Calibri" w:cs="Calibri"/>
          <w:sz w:val="22"/>
          <w:szCs w:val="22"/>
        </w:rPr>
        <w:t>Gamification-based Materials: Interactive, puzzle-based activities such as escape room exercises.</w:t>
      </w:r>
    </w:p>
    <w:p w14:paraId="14568C82" w14:textId="77777777" w:rsidR="00C433C7" w:rsidRPr="00C433C7" w:rsidRDefault="00C433C7" w:rsidP="00B97AFB">
      <w:pPr>
        <w:numPr>
          <w:ilvl w:val="0"/>
          <w:numId w:val="23"/>
        </w:numPr>
        <w:spacing w:line="240" w:lineRule="atLeast"/>
        <w:ind w:hanging="357"/>
        <w:jc w:val="both"/>
        <w:rPr>
          <w:rFonts w:ascii="Calibri" w:hAnsi="Calibri" w:cs="Calibri"/>
          <w:sz w:val="22"/>
          <w:szCs w:val="22"/>
        </w:rPr>
      </w:pPr>
      <w:r w:rsidRPr="00C433C7">
        <w:rPr>
          <w:rFonts w:ascii="Calibri" w:hAnsi="Calibri" w:cs="Calibri"/>
          <w:sz w:val="22"/>
          <w:szCs w:val="22"/>
        </w:rPr>
        <w:t>Each participant institution must deliver these materials according to their respective methodologies for accurate comparative evaluation.</w:t>
      </w:r>
    </w:p>
    <w:p w14:paraId="575924DA" w14:textId="77777777" w:rsidR="00C433C7" w:rsidRPr="00C433C7" w:rsidRDefault="00C433C7" w:rsidP="00C433C7">
      <w:pPr>
        <w:numPr>
          <w:ilvl w:val="0"/>
          <w:numId w:val="15"/>
        </w:numPr>
        <w:ind w:left="357" w:hanging="357"/>
        <w:jc w:val="both"/>
        <w:rPr>
          <w:rFonts w:ascii="Calibri" w:hAnsi="Calibri" w:cs="Calibri"/>
          <w:sz w:val="22"/>
          <w:szCs w:val="22"/>
        </w:rPr>
      </w:pPr>
      <w:r w:rsidRPr="00C433C7">
        <w:rPr>
          <w:rFonts w:ascii="Calibri" w:hAnsi="Calibri" w:cs="Calibri"/>
          <w:b/>
          <w:bCs/>
          <w:sz w:val="22"/>
          <w:szCs w:val="22"/>
        </w:rPr>
        <w:t>Use of Evaluation Matrix</w:t>
      </w:r>
    </w:p>
    <w:p w14:paraId="11E79FEE" w14:textId="77777777" w:rsidR="00C433C7" w:rsidRPr="00C433C7" w:rsidRDefault="00C433C7" w:rsidP="00CA11C7">
      <w:pPr>
        <w:jc w:val="both"/>
        <w:rPr>
          <w:rFonts w:ascii="Calibri" w:hAnsi="Calibri" w:cs="Calibri"/>
          <w:sz w:val="22"/>
          <w:szCs w:val="22"/>
        </w:rPr>
      </w:pPr>
      <w:r w:rsidRPr="00C433C7">
        <w:rPr>
          <w:rFonts w:ascii="Calibri" w:hAnsi="Calibri" w:cs="Calibri"/>
          <w:sz w:val="22"/>
          <w:szCs w:val="22"/>
        </w:rPr>
        <w:t>Implement a mixed-methods evaluation framework combining quantitative and qualitative assessments to gauge effectiveness and engagement comprehensively.</w:t>
      </w:r>
    </w:p>
    <w:p w14:paraId="7DEF340A" w14:textId="77777777" w:rsidR="00C433C7" w:rsidRPr="000D5DE4" w:rsidRDefault="00C433C7" w:rsidP="00CA11C7">
      <w:pPr>
        <w:pStyle w:val="ListParagraph"/>
        <w:numPr>
          <w:ilvl w:val="0"/>
          <w:numId w:val="26"/>
        </w:numPr>
        <w:jc w:val="both"/>
        <w:rPr>
          <w:rFonts w:ascii="Calibri" w:hAnsi="Calibri" w:cs="Calibri"/>
          <w:sz w:val="22"/>
          <w:szCs w:val="22"/>
        </w:rPr>
      </w:pPr>
      <w:r w:rsidRPr="000D5DE4">
        <w:rPr>
          <w:rFonts w:ascii="Calibri" w:hAnsi="Calibri" w:cs="Calibri"/>
          <w:b/>
          <w:bCs/>
          <w:sz w:val="22"/>
          <w:szCs w:val="22"/>
        </w:rPr>
        <w:t>Quantitative Assessment of Learning Gains:</w:t>
      </w:r>
    </w:p>
    <w:p w14:paraId="5CAC67E1" w14:textId="77777777" w:rsidR="00C433C7" w:rsidRPr="00C433C7" w:rsidRDefault="00C433C7" w:rsidP="00B97AFB">
      <w:pPr>
        <w:numPr>
          <w:ilvl w:val="0"/>
          <w:numId w:val="16"/>
        </w:numPr>
        <w:spacing w:line="240" w:lineRule="atLeast"/>
        <w:ind w:left="1077" w:hanging="357"/>
        <w:jc w:val="both"/>
        <w:rPr>
          <w:rFonts w:ascii="Calibri" w:hAnsi="Calibri" w:cs="Calibri"/>
          <w:sz w:val="22"/>
          <w:szCs w:val="22"/>
        </w:rPr>
      </w:pPr>
      <w:r w:rsidRPr="00C433C7">
        <w:rPr>
          <w:rFonts w:ascii="Calibri" w:hAnsi="Calibri" w:cs="Calibri"/>
          <w:sz w:val="22"/>
          <w:szCs w:val="22"/>
        </w:rPr>
        <w:t>Conduct standardized pre- and post-activity assessments (e.g., quizzes, tests, concept checks) on core AI/ML concepts.</w:t>
      </w:r>
    </w:p>
    <w:p w14:paraId="5D1A1381" w14:textId="77777777" w:rsidR="00C433C7" w:rsidRPr="00C433C7" w:rsidRDefault="00C433C7" w:rsidP="00B97AFB">
      <w:pPr>
        <w:numPr>
          <w:ilvl w:val="0"/>
          <w:numId w:val="16"/>
        </w:numPr>
        <w:spacing w:line="240" w:lineRule="atLeast"/>
        <w:ind w:left="1077" w:hanging="357"/>
        <w:jc w:val="both"/>
        <w:rPr>
          <w:rFonts w:ascii="Calibri" w:hAnsi="Calibri" w:cs="Calibri"/>
          <w:sz w:val="22"/>
          <w:szCs w:val="22"/>
        </w:rPr>
      </w:pPr>
      <w:r w:rsidRPr="00C433C7">
        <w:rPr>
          <w:rFonts w:ascii="Calibri" w:hAnsi="Calibri" w:cs="Calibri"/>
          <w:sz w:val="22"/>
          <w:szCs w:val="22"/>
        </w:rPr>
        <w:t>Apply standardized scoring methods for reliable comparisons across different sites and cohorts.</w:t>
      </w:r>
    </w:p>
    <w:p w14:paraId="4C6B23DD" w14:textId="77777777" w:rsidR="00C433C7" w:rsidRPr="00C433C7" w:rsidRDefault="00C433C7" w:rsidP="00CA11C7">
      <w:pPr>
        <w:pStyle w:val="ListParagraph"/>
        <w:numPr>
          <w:ilvl w:val="0"/>
          <w:numId w:val="26"/>
        </w:numPr>
        <w:jc w:val="both"/>
        <w:rPr>
          <w:rFonts w:ascii="Calibri" w:hAnsi="Calibri" w:cs="Calibri"/>
          <w:sz w:val="22"/>
          <w:szCs w:val="22"/>
        </w:rPr>
      </w:pPr>
      <w:r w:rsidRPr="00C433C7">
        <w:rPr>
          <w:rFonts w:ascii="Calibri" w:hAnsi="Calibri" w:cs="Calibri"/>
          <w:b/>
          <w:bCs/>
          <w:sz w:val="22"/>
          <w:szCs w:val="22"/>
        </w:rPr>
        <w:t>Qualitative Evaluation of Engagement and Interaction:</w:t>
      </w:r>
    </w:p>
    <w:p w14:paraId="454BB39F" w14:textId="77777777" w:rsidR="00C433C7" w:rsidRPr="00C433C7" w:rsidRDefault="00C433C7" w:rsidP="00B97AFB">
      <w:pPr>
        <w:numPr>
          <w:ilvl w:val="0"/>
          <w:numId w:val="27"/>
        </w:numPr>
        <w:spacing w:line="240" w:lineRule="atLeast"/>
        <w:jc w:val="both"/>
        <w:rPr>
          <w:rFonts w:ascii="Calibri" w:hAnsi="Calibri" w:cs="Calibri"/>
          <w:sz w:val="22"/>
          <w:szCs w:val="22"/>
        </w:rPr>
      </w:pPr>
      <w:r w:rsidRPr="00C433C7">
        <w:rPr>
          <w:rFonts w:ascii="Calibri" w:hAnsi="Calibri" w:cs="Calibri"/>
          <w:sz w:val="22"/>
          <w:szCs w:val="22"/>
        </w:rPr>
        <w:t>Employ qualitative data collection methods including:</w:t>
      </w:r>
    </w:p>
    <w:p w14:paraId="0436A88B" w14:textId="77777777" w:rsidR="00C433C7" w:rsidRPr="00C433C7" w:rsidRDefault="00C433C7" w:rsidP="00B97AFB">
      <w:pPr>
        <w:numPr>
          <w:ilvl w:val="2"/>
          <w:numId w:val="17"/>
        </w:numPr>
        <w:spacing w:line="240" w:lineRule="atLeast"/>
        <w:ind w:left="1434" w:hanging="357"/>
        <w:jc w:val="both"/>
        <w:rPr>
          <w:rFonts w:ascii="Calibri" w:hAnsi="Calibri" w:cs="Calibri"/>
          <w:sz w:val="22"/>
          <w:szCs w:val="22"/>
        </w:rPr>
      </w:pPr>
      <w:r w:rsidRPr="00C433C7">
        <w:rPr>
          <w:rFonts w:ascii="Calibri" w:hAnsi="Calibri" w:cs="Calibri"/>
          <w:sz w:val="22"/>
          <w:szCs w:val="22"/>
        </w:rPr>
        <w:t>Observational notes documenting student participation and interaction.</w:t>
      </w:r>
    </w:p>
    <w:p w14:paraId="3FEC7E70" w14:textId="77777777" w:rsidR="00C433C7" w:rsidRPr="00C433C7" w:rsidRDefault="00C433C7" w:rsidP="00B97AFB">
      <w:pPr>
        <w:numPr>
          <w:ilvl w:val="2"/>
          <w:numId w:val="17"/>
        </w:numPr>
        <w:spacing w:line="240" w:lineRule="atLeast"/>
        <w:ind w:left="1434" w:hanging="357"/>
        <w:jc w:val="both"/>
        <w:rPr>
          <w:rFonts w:ascii="Calibri" w:hAnsi="Calibri" w:cs="Calibri"/>
          <w:sz w:val="22"/>
          <w:szCs w:val="22"/>
        </w:rPr>
      </w:pPr>
      <w:r w:rsidRPr="00C433C7">
        <w:rPr>
          <w:rFonts w:ascii="Calibri" w:hAnsi="Calibri" w:cs="Calibri"/>
          <w:sz w:val="22"/>
          <w:szCs w:val="22"/>
        </w:rPr>
        <w:t>Reflective feedback from students via open-ended surveys or written reflections.</w:t>
      </w:r>
    </w:p>
    <w:p w14:paraId="6EBB7363" w14:textId="77777777" w:rsidR="00C433C7" w:rsidRPr="00C433C7" w:rsidRDefault="00C433C7" w:rsidP="00B97AFB">
      <w:pPr>
        <w:numPr>
          <w:ilvl w:val="2"/>
          <w:numId w:val="17"/>
        </w:numPr>
        <w:spacing w:line="240" w:lineRule="atLeast"/>
        <w:ind w:left="1434" w:hanging="357"/>
        <w:jc w:val="both"/>
        <w:rPr>
          <w:rFonts w:ascii="Calibri" w:hAnsi="Calibri" w:cs="Calibri"/>
          <w:sz w:val="22"/>
          <w:szCs w:val="22"/>
        </w:rPr>
      </w:pPr>
      <w:r w:rsidRPr="00C433C7">
        <w:rPr>
          <w:rFonts w:ascii="Calibri" w:hAnsi="Calibri" w:cs="Calibri"/>
          <w:sz w:val="22"/>
          <w:szCs w:val="22"/>
        </w:rPr>
        <w:t>Instructor observations, logs, or interviews noting engagement and challenges.</w:t>
      </w:r>
    </w:p>
    <w:p w14:paraId="2846A1F7" w14:textId="77777777" w:rsidR="00C433C7" w:rsidRPr="00C433C7" w:rsidRDefault="00C433C7" w:rsidP="00B97AFB">
      <w:pPr>
        <w:numPr>
          <w:ilvl w:val="0"/>
          <w:numId w:val="27"/>
        </w:numPr>
        <w:spacing w:line="240" w:lineRule="atLeast"/>
        <w:jc w:val="both"/>
        <w:rPr>
          <w:rFonts w:ascii="Calibri" w:hAnsi="Calibri" w:cs="Calibri"/>
          <w:sz w:val="22"/>
          <w:szCs w:val="22"/>
        </w:rPr>
      </w:pPr>
      <w:r w:rsidRPr="00C433C7">
        <w:rPr>
          <w:rFonts w:ascii="Calibri" w:hAnsi="Calibri" w:cs="Calibri"/>
          <w:sz w:val="22"/>
          <w:szCs w:val="22"/>
        </w:rPr>
        <w:t>Examples include noting frequency of voluntary collaboration or analysis of reflective writings regarding problem-solving strategies.</w:t>
      </w:r>
    </w:p>
    <w:p w14:paraId="38C04417" w14:textId="77777777" w:rsidR="00C433C7" w:rsidRPr="00C433C7" w:rsidRDefault="00C433C7" w:rsidP="00CA11C7">
      <w:pPr>
        <w:pStyle w:val="ListParagraph"/>
        <w:numPr>
          <w:ilvl w:val="0"/>
          <w:numId w:val="26"/>
        </w:numPr>
        <w:jc w:val="both"/>
        <w:rPr>
          <w:rFonts w:ascii="Calibri" w:hAnsi="Calibri" w:cs="Calibri"/>
          <w:sz w:val="22"/>
          <w:szCs w:val="22"/>
        </w:rPr>
      </w:pPr>
      <w:r w:rsidRPr="00C433C7">
        <w:rPr>
          <w:rFonts w:ascii="Calibri" w:hAnsi="Calibri" w:cs="Calibri"/>
          <w:b/>
          <w:bCs/>
          <w:sz w:val="22"/>
          <w:szCs w:val="22"/>
        </w:rPr>
        <w:lastRenderedPageBreak/>
        <w:t>Standardized Engagement Surveys and Metrics:</w:t>
      </w:r>
    </w:p>
    <w:p w14:paraId="43010B82" w14:textId="7D229212" w:rsidR="00C433C7" w:rsidRPr="00C433C7" w:rsidRDefault="00C433C7" w:rsidP="00B97AFB">
      <w:pPr>
        <w:numPr>
          <w:ilvl w:val="0"/>
          <w:numId w:val="28"/>
        </w:numPr>
        <w:spacing w:line="240" w:lineRule="atLeast"/>
        <w:ind w:left="1077" w:hanging="357"/>
        <w:jc w:val="both"/>
        <w:rPr>
          <w:rFonts w:ascii="Calibri" w:hAnsi="Calibri" w:cs="Calibri"/>
          <w:sz w:val="22"/>
          <w:szCs w:val="22"/>
        </w:rPr>
      </w:pPr>
      <w:r w:rsidRPr="00C433C7">
        <w:rPr>
          <w:rFonts w:ascii="Calibri" w:hAnsi="Calibri" w:cs="Calibri"/>
          <w:sz w:val="22"/>
          <w:szCs w:val="22"/>
        </w:rPr>
        <w:t xml:space="preserve">Utilize validated engagement surveys capturing </w:t>
      </w:r>
      <w:r w:rsidR="004C7FBD" w:rsidRPr="00C433C7">
        <w:rPr>
          <w:rFonts w:ascii="Calibri" w:hAnsi="Calibri" w:cs="Calibri"/>
          <w:sz w:val="22"/>
          <w:szCs w:val="22"/>
        </w:rPr>
        <w:t>behavioural</w:t>
      </w:r>
      <w:r w:rsidRPr="00C433C7">
        <w:rPr>
          <w:rFonts w:ascii="Calibri" w:hAnsi="Calibri" w:cs="Calibri"/>
          <w:sz w:val="22"/>
          <w:szCs w:val="22"/>
        </w:rPr>
        <w:t>, emotional, and cognitive dimensions of engagement.</w:t>
      </w:r>
    </w:p>
    <w:p w14:paraId="1A235C4F" w14:textId="77777777" w:rsidR="00C433C7" w:rsidRPr="00C433C7" w:rsidRDefault="00C433C7" w:rsidP="00B97AFB">
      <w:pPr>
        <w:numPr>
          <w:ilvl w:val="0"/>
          <w:numId w:val="28"/>
        </w:numPr>
        <w:spacing w:line="240" w:lineRule="atLeast"/>
        <w:ind w:left="1077" w:hanging="357"/>
        <w:jc w:val="both"/>
        <w:rPr>
          <w:rFonts w:ascii="Calibri" w:hAnsi="Calibri" w:cs="Calibri"/>
          <w:sz w:val="22"/>
          <w:szCs w:val="22"/>
        </w:rPr>
      </w:pPr>
      <w:r w:rsidRPr="00C433C7">
        <w:rPr>
          <w:rFonts w:ascii="Calibri" w:hAnsi="Calibri" w:cs="Calibri"/>
          <w:sz w:val="22"/>
          <w:szCs w:val="22"/>
        </w:rPr>
        <w:t>Examples include the Student Engagement Questionnaire or appropriately adapted survey instruments.</w:t>
      </w:r>
    </w:p>
    <w:p w14:paraId="5999139F" w14:textId="77777777" w:rsidR="00C433C7" w:rsidRPr="00C433C7" w:rsidRDefault="00C433C7" w:rsidP="00B97AFB">
      <w:pPr>
        <w:numPr>
          <w:ilvl w:val="0"/>
          <w:numId w:val="28"/>
        </w:numPr>
        <w:spacing w:line="240" w:lineRule="atLeast"/>
        <w:ind w:left="1077" w:hanging="357"/>
        <w:jc w:val="both"/>
        <w:rPr>
          <w:rFonts w:ascii="Calibri" w:hAnsi="Calibri" w:cs="Calibri"/>
          <w:sz w:val="22"/>
          <w:szCs w:val="22"/>
        </w:rPr>
      </w:pPr>
      <w:r w:rsidRPr="00C433C7">
        <w:rPr>
          <w:rFonts w:ascii="Calibri" w:hAnsi="Calibri" w:cs="Calibri"/>
          <w:sz w:val="22"/>
          <w:szCs w:val="22"/>
        </w:rPr>
        <w:t>All participating institutions must agree on standardized instruments to maintain consistency and validity of data.</w:t>
      </w:r>
    </w:p>
    <w:p w14:paraId="60929B31" w14:textId="77777777" w:rsidR="00C433C7" w:rsidRPr="00C433C7" w:rsidRDefault="00C433C7" w:rsidP="00CA11C7">
      <w:pPr>
        <w:pStyle w:val="ListParagraph"/>
        <w:numPr>
          <w:ilvl w:val="0"/>
          <w:numId w:val="26"/>
        </w:numPr>
        <w:jc w:val="both"/>
        <w:rPr>
          <w:rFonts w:ascii="Calibri" w:hAnsi="Calibri" w:cs="Calibri"/>
          <w:sz w:val="22"/>
          <w:szCs w:val="22"/>
        </w:rPr>
      </w:pPr>
      <w:r w:rsidRPr="00C433C7">
        <w:rPr>
          <w:rFonts w:ascii="Calibri" w:hAnsi="Calibri" w:cs="Calibri"/>
          <w:b/>
          <w:bCs/>
          <w:sz w:val="22"/>
          <w:szCs w:val="22"/>
        </w:rPr>
        <w:t>Data Triangulation and Interpretation:</w:t>
      </w:r>
    </w:p>
    <w:p w14:paraId="73589E3C" w14:textId="77777777" w:rsidR="00C433C7" w:rsidRPr="00C433C7" w:rsidRDefault="00C433C7" w:rsidP="00B97AFB">
      <w:pPr>
        <w:numPr>
          <w:ilvl w:val="0"/>
          <w:numId w:val="29"/>
        </w:numPr>
        <w:spacing w:line="240" w:lineRule="atLeast"/>
        <w:ind w:left="1077" w:hanging="357"/>
        <w:jc w:val="both"/>
        <w:rPr>
          <w:rFonts w:ascii="Calibri" w:hAnsi="Calibri" w:cs="Calibri"/>
          <w:sz w:val="22"/>
          <w:szCs w:val="22"/>
        </w:rPr>
      </w:pPr>
      <w:r w:rsidRPr="00C433C7">
        <w:rPr>
          <w:rFonts w:ascii="Calibri" w:hAnsi="Calibri" w:cs="Calibri"/>
          <w:sz w:val="22"/>
          <w:szCs w:val="22"/>
        </w:rPr>
        <w:t>Integrate quantitative test scores with qualitative insights from surveys, observations, and reflections.</w:t>
      </w:r>
    </w:p>
    <w:p w14:paraId="29BB522B" w14:textId="77777777" w:rsidR="00C433C7" w:rsidRPr="00C433C7" w:rsidRDefault="00C433C7" w:rsidP="00B97AFB">
      <w:pPr>
        <w:numPr>
          <w:ilvl w:val="0"/>
          <w:numId w:val="29"/>
        </w:numPr>
        <w:spacing w:line="240" w:lineRule="atLeast"/>
        <w:ind w:left="1077" w:hanging="357"/>
        <w:jc w:val="both"/>
        <w:rPr>
          <w:rFonts w:ascii="Calibri" w:hAnsi="Calibri" w:cs="Calibri"/>
          <w:sz w:val="22"/>
          <w:szCs w:val="22"/>
        </w:rPr>
      </w:pPr>
      <w:r w:rsidRPr="00C433C7">
        <w:rPr>
          <w:rFonts w:ascii="Calibri" w:hAnsi="Calibri" w:cs="Calibri"/>
          <w:sz w:val="22"/>
          <w:szCs w:val="22"/>
        </w:rPr>
        <w:t>Ensure triangulated data analysis to robustly evidence the effectiveness of the intervention.</w:t>
      </w:r>
    </w:p>
    <w:p w14:paraId="124C0488" w14:textId="77777777" w:rsidR="00C433C7" w:rsidRPr="00C433C7" w:rsidRDefault="00C433C7" w:rsidP="00CA11C7">
      <w:pPr>
        <w:pStyle w:val="ListParagraph"/>
        <w:numPr>
          <w:ilvl w:val="0"/>
          <w:numId w:val="26"/>
        </w:numPr>
        <w:jc w:val="both"/>
        <w:rPr>
          <w:rFonts w:ascii="Calibri" w:hAnsi="Calibri" w:cs="Calibri"/>
          <w:sz w:val="22"/>
          <w:szCs w:val="22"/>
        </w:rPr>
      </w:pPr>
      <w:r w:rsidRPr="00C433C7">
        <w:rPr>
          <w:rFonts w:ascii="Calibri" w:hAnsi="Calibri" w:cs="Calibri"/>
          <w:b/>
          <w:bCs/>
          <w:sz w:val="22"/>
          <w:szCs w:val="22"/>
        </w:rPr>
        <w:t>Ethical Considerations and Data Management:</w:t>
      </w:r>
    </w:p>
    <w:p w14:paraId="09567EC5" w14:textId="77777777" w:rsidR="00C433C7" w:rsidRPr="00C433C7" w:rsidRDefault="00C433C7" w:rsidP="00B97AFB">
      <w:pPr>
        <w:numPr>
          <w:ilvl w:val="0"/>
          <w:numId w:val="30"/>
        </w:numPr>
        <w:spacing w:line="240" w:lineRule="atLeast"/>
        <w:ind w:left="1077" w:hanging="357"/>
        <w:jc w:val="both"/>
        <w:rPr>
          <w:rFonts w:ascii="Calibri" w:hAnsi="Calibri" w:cs="Calibri"/>
          <w:sz w:val="22"/>
          <w:szCs w:val="22"/>
        </w:rPr>
      </w:pPr>
      <w:r w:rsidRPr="00C433C7">
        <w:rPr>
          <w:rFonts w:ascii="Calibri" w:hAnsi="Calibri" w:cs="Calibri"/>
          <w:sz w:val="22"/>
          <w:szCs w:val="22"/>
        </w:rPr>
        <w:t>Adhere strictly to ethical guidelines, including informed consent, confidentiality, and secure data handling.</w:t>
      </w:r>
    </w:p>
    <w:p w14:paraId="19BAC4CA" w14:textId="2D37A68C" w:rsidR="00C433C7" w:rsidRPr="00C433C7" w:rsidRDefault="00C433C7" w:rsidP="00B97AFB">
      <w:pPr>
        <w:numPr>
          <w:ilvl w:val="0"/>
          <w:numId w:val="30"/>
        </w:numPr>
        <w:spacing w:line="240" w:lineRule="atLeast"/>
        <w:ind w:left="1077" w:hanging="357"/>
        <w:jc w:val="both"/>
        <w:rPr>
          <w:rFonts w:ascii="Calibri" w:hAnsi="Calibri" w:cs="Calibri"/>
          <w:sz w:val="22"/>
          <w:szCs w:val="22"/>
        </w:rPr>
      </w:pPr>
      <w:r w:rsidRPr="00C433C7">
        <w:rPr>
          <w:rFonts w:ascii="Calibri" w:hAnsi="Calibri" w:cs="Calibri"/>
          <w:sz w:val="22"/>
          <w:szCs w:val="22"/>
        </w:rPr>
        <w:t>Obtain necessary local ethics approvals prior to data collection activities.</w:t>
      </w:r>
    </w:p>
    <w:p w14:paraId="5C6E6E46" w14:textId="77777777" w:rsidR="00C433C7" w:rsidRPr="00C433C7" w:rsidRDefault="00C433C7" w:rsidP="000D5DE4">
      <w:pPr>
        <w:pStyle w:val="ListParagraph"/>
        <w:numPr>
          <w:ilvl w:val="1"/>
          <w:numId w:val="14"/>
        </w:numPr>
        <w:spacing w:before="240"/>
        <w:ind w:left="720"/>
        <w:rPr>
          <w:rFonts w:ascii="Calibri" w:hAnsi="Calibri" w:cs="Calibri"/>
          <w:b/>
          <w:bCs/>
          <w:sz w:val="22"/>
          <w:szCs w:val="22"/>
        </w:rPr>
      </w:pPr>
      <w:r w:rsidRPr="00C433C7">
        <w:rPr>
          <w:rFonts w:ascii="Calibri" w:hAnsi="Calibri" w:cs="Calibri"/>
          <w:b/>
          <w:bCs/>
          <w:sz w:val="22"/>
          <w:szCs w:val="22"/>
        </w:rPr>
        <w:t>Data Collection</w:t>
      </w:r>
    </w:p>
    <w:p w14:paraId="13895105" w14:textId="77777777" w:rsidR="00C433C7" w:rsidRPr="00C433C7" w:rsidRDefault="00C433C7" w:rsidP="00B97AFB">
      <w:pPr>
        <w:numPr>
          <w:ilvl w:val="0"/>
          <w:numId w:val="11"/>
        </w:numPr>
        <w:spacing w:line="240" w:lineRule="atLeast"/>
        <w:ind w:left="714" w:hanging="357"/>
        <w:jc w:val="both"/>
        <w:rPr>
          <w:rFonts w:ascii="Calibri" w:hAnsi="Calibri" w:cs="Calibri"/>
          <w:sz w:val="22"/>
          <w:szCs w:val="22"/>
        </w:rPr>
      </w:pPr>
      <w:r w:rsidRPr="00C433C7">
        <w:rPr>
          <w:rFonts w:ascii="Calibri" w:hAnsi="Calibri" w:cs="Calibri"/>
          <w:sz w:val="22"/>
          <w:szCs w:val="22"/>
        </w:rPr>
        <w:t>Pre- and post-activity conceptual assessments</w:t>
      </w:r>
    </w:p>
    <w:p w14:paraId="15F5DB46" w14:textId="77777777" w:rsidR="00C433C7" w:rsidRPr="00C433C7" w:rsidRDefault="00C433C7" w:rsidP="00B97AFB">
      <w:pPr>
        <w:numPr>
          <w:ilvl w:val="0"/>
          <w:numId w:val="11"/>
        </w:numPr>
        <w:spacing w:line="240" w:lineRule="atLeast"/>
        <w:ind w:left="714" w:hanging="357"/>
        <w:jc w:val="both"/>
        <w:rPr>
          <w:rFonts w:ascii="Calibri" w:hAnsi="Calibri" w:cs="Calibri"/>
          <w:sz w:val="22"/>
          <w:szCs w:val="22"/>
        </w:rPr>
      </w:pPr>
      <w:r w:rsidRPr="00C433C7">
        <w:rPr>
          <w:rFonts w:ascii="Calibri" w:hAnsi="Calibri" w:cs="Calibri"/>
          <w:sz w:val="22"/>
          <w:szCs w:val="22"/>
        </w:rPr>
        <w:t>Student engagement and perception surveys</w:t>
      </w:r>
    </w:p>
    <w:p w14:paraId="13E9D796" w14:textId="77777777" w:rsidR="00C433C7" w:rsidRPr="00C433C7" w:rsidRDefault="00C433C7" w:rsidP="00B97AFB">
      <w:pPr>
        <w:numPr>
          <w:ilvl w:val="0"/>
          <w:numId w:val="11"/>
        </w:numPr>
        <w:spacing w:line="240" w:lineRule="atLeast"/>
        <w:ind w:left="714" w:hanging="357"/>
        <w:jc w:val="both"/>
        <w:rPr>
          <w:rFonts w:ascii="Calibri" w:hAnsi="Calibri" w:cs="Calibri"/>
          <w:sz w:val="22"/>
          <w:szCs w:val="22"/>
        </w:rPr>
      </w:pPr>
      <w:r w:rsidRPr="00C433C7">
        <w:rPr>
          <w:rFonts w:ascii="Calibri" w:hAnsi="Calibri" w:cs="Calibri"/>
          <w:sz w:val="22"/>
          <w:szCs w:val="22"/>
        </w:rPr>
        <w:t>Performance metrics aligned with course assessments</w:t>
      </w:r>
    </w:p>
    <w:p w14:paraId="0D005017" w14:textId="77777777" w:rsidR="00C433C7" w:rsidRPr="00C433C7" w:rsidRDefault="00C433C7" w:rsidP="00B97AFB">
      <w:pPr>
        <w:numPr>
          <w:ilvl w:val="0"/>
          <w:numId w:val="11"/>
        </w:numPr>
        <w:spacing w:line="240" w:lineRule="atLeast"/>
        <w:ind w:left="714" w:hanging="357"/>
        <w:jc w:val="both"/>
        <w:rPr>
          <w:rFonts w:ascii="Calibri" w:hAnsi="Calibri" w:cs="Calibri"/>
          <w:sz w:val="22"/>
          <w:szCs w:val="22"/>
        </w:rPr>
      </w:pPr>
      <w:r w:rsidRPr="00C433C7">
        <w:rPr>
          <w:rFonts w:ascii="Calibri" w:hAnsi="Calibri" w:cs="Calibri"/>
          <w:sz w:val="22"/>
          <w:szCs w:val="22"/>
        </w:rPr>
        <w:t>Structured educator reflections and interviews post-implementation</w:t>
      </w:r>
    </w:p>
    <w:p w14:paraId="600D377A" w14:textId="77777777" w:rsidR="00C433C7" w:rsidRPr="00C433C7" w:rsidRDefault="00C433C7" w:rsidP="000D5DE4">
      <w:pPr>
        <w:pStyle w:val="ListParagraph"/>
        <w:numPr>
          <w:ilvl w:val="1"/>
          <w:numId w:val="14"/>
        </w:numPr>
        <w:spacing w:before="240"/>
        <w:ind w:left="720"/>
        <w:rPr>
          <w:rFonts w:ascii="Calibri" w:hAnsi="Calibri" w:cs="Calibri"/>
          <w:b/>
          <w:bCs/>
          <w:sz w:val="22"/>
          <w:szCs w:val="22"/>
        </w:rPr>
      </w:pPr>
      <w:r w:rsidRPr="00C433C7">
        <w:rPr>
          <w:rFonts w:ascii="Calibri" w:hAnsi="Calibri" w:cs="Calibri"/>
          <w:b/>
          <w:bCs/>
          <w:sz w:val="22"/>
          <w:szCs w:val="22"/>
        </w:rPr>
        <w:t>Data Analysis</w:t>
      </w:r>
    </w:p>
    <w:p w14:paraId="76163B34" w14:textId="79DB43E3" w:rsidR="00C433C7" w:rsidRPr="00C433C7" w:rsidRDefault="00C433C7" w:rsidP="00C433C7">
      <w:pPr>
        <w:jc w:val="both"/>
        <w:rPr>
          <w:rFonts w:ascii="Calibri" w:hAnsi="Calibri" w:cs="Calibri"/>
          <w:sz w:val="22"/>
          <w:szCs w:val="22"/>
        </w:rPr>
      </w:pPr>
      <w:r w:rsidRPr="00C433C7">
        <w:rPr>
          <w:rFonts w:ascii="Calibri" w:hAnsi="Calibri" w:cs="Calibri"/>
          <w:sz w:val="22"/>
          <w:szCs w:val="22"/>
        </w:rPr>
        <w:t xml:space="preserve">Quantitative data will undergo descriptive and inferential statistical analysis (e.g., paired t-tests, correlation analysis) to assess learning gains and engagement changes. Qualitative data will be </w:t>
      </w:r>
      <w:r w:rsidR="004C7FBD" w:rsidRPr="00C433C7">
        <w:rPr>
          <w:rFonts w:ascii="Calibri" w:hAnsi="Calibri" w:cs="Calibri"/>
          <w:sz w:val="22"/>
          <w:szCs w:val="22"/>
        </w:rPr>
        <w:t>analysed</w:t>
      </w:r>
      <w:r w:rsidRPr="00C433C7">
        <w:rPr>
          <w:rFonts w:ascii="Calibri" w:hAnsi="Calibri" w:cs="Calibri"/>
          <w:sz w:val="22"/>
          <w:szCs w:val="22"/>
        </w:rPr>
        <w:t xml:space="preserve"> thematically to identify implementation challenges, best practices, and contextual influences.</w:t>
      </w:r>
    </w:p>
    <w:p w14:paraId="4DEA2BB5" w14:textId="77777777" w:rsidR="00C433C7" w:rsidRPr="00C433C7" w:rsidRDefault="00C433C7" w:rsidP="000D5DE4">
      <w:pPr>
        <w:pStyle w:val="ListParagraph"/>
        <w:numPr>
          <w:ilvl w:val="1"/>
          <w:numId w:val="14"/>
        </w:numPr>
        <w:spacing w:before="240"/>
        <w:ind w:left="720"/>
        <w:rPr>
          <w:rFonts w:ascii="Calibri" w:hAnsi="Calibri" w:cs="Calibri"/>
          <w:b/>
          <w:bCs/>
          <w:sz w:val="22"/>
          <w:szCs w:val="22"/>
        </w:rPr>
      </w:pPr>
      <w:r w:rsidRPr="00C433C7">
        <w:rPr>
          <w:rFonts w:ascii="Calibri" w:hAnsi="Calibri" w:cs="Calibri"/>
          <w:b/>
          <w:bCs/>
          <w:sz w:val="22"/>
          <w:szCs w:val="22"/>
        </w:rPr>
        <w:t>Timeline</w:t>
      </w:r>
    </w:p>
    <w:p w14:paraId="2B9B954C" w14:textId="530FFBF7" w:rsidR="00C433C7" w:rsidRPr="00C433C7" w:rsidRDefault="00C433C7" w:rsidP="00B97AFB">
      <w:pPr>
        <w:numPr>
          <w:ilvl w:val="0"/>
          <w:numId w:val="12"/>
        </w:numPr>
        <w:spacing w:line="240" w:lineRule="atLeast"/>
        <w:ind w:left="714" w:hanging="357"/>
        <w:jc w:val="both"/>
        <w:rPr>
          <w:rFonts w:ascii="Calibri" w:hAnsi="Calibri" w:cs="Calibri"/>
          <w:sz w:val="22"/>
          <w:szCs w:val="22"/>
        </w:rPr>
      </w:pPr>
      <w:r w:rsidRPr="00C433C7">
        <w:rPr>
          <w:rFonts w:ascii="Calibri" w:hAnsi="Calibri" w:cs="Calibri"/>
          <w:b/>
          <w:bCs/>
          <w:sz w:val="22"/>
          <w:szCs w:val="22"/>
        </w:rPr>
        <w:t>Sep 2025</w:t>
      </w:r>
      <w:r w:rsidRPr="00C433C7">
        <w:rPr>
          <w:rFonts w:ascii="Calibri" w:hAnsi="Calibri" w:cs="Calibri"/>
          <w:sz w:val="22"/>
          <w:szCs w:val="22"/>
        </w:rPr>
        <w:t xml:space="preserve">: Project </w:t>
      </w:r>
      <w:r w:rsidR="004C7FBD" w:rsidRPr="00C433C7">
        <w:rPr>
          <w:rFonts w:ascii="Calibri" w:hAnsi="Calibri" w:cs="Calibri"/>
          <w:sz w:val="22"/>
          <w:szCs w:val="22"/>
        </w:rPr>
        <w:t>kick-off</w:t>
      </w:r>
      <w:r w:rsidRPr="00C433C7">
        <w:rPr>
          <w:rFonts w:ascii="Calibri" w:hAnsi="Calibri" w:cs="Calibri"/>
          <w:sz w:val="22"/>
          <w:szCs w:val="22"/>
        </w:rPr>
        <w:t xml:space="preserve"> workshop and ethics approval submission</w:t>
      </w:r>
    </w:p>
    <w:p w14:paraId="0ABB5696" w14:textId="77777777" w:rsidR="00C433C7" w:rsidRPr="00C433C7" w:rsidRDefault="00C433C7" w:rsidP="00B97AFB">
      <w:pPr>
        <w:numPr>
          <w:ilvl w:val="0"/>
          <w:numId w:val="12"/>
        </w:numPr>
        <w:spacing w:line="240" w:lineRule="atLeast"/>
        <w:ind w:left="714" w:hanging="357"/>
        <w:jc w:val="both"/>
        <w:rPr>
          <w:rFonts w:ascii="Calibri" w:hAnsi="Calibri" w:cs="Calibri"/>
          <w:sz w:val="22"/>
          <w:szCs w:val="22"/>
        </w:rPr>
      </w:pPr>
      <w:r w:rsidRPr="00C433C7">
        <w:rPr>
          <w:rFonts w:ascii="Calibri" w:hAnsi="Calibri" w:cs="Calibri"/>
          <w:b/>
          <w:bCs/>
          <w:sz w:val="22"/>
          <w:szCs w:val="22"/>
        </w:rPr>
        <w:t>Oct-Dec 2025</w:t>
      </w:r>
      <w:r w:rsidRPr="00C433C7">
        <w:rPr>
          <w:rFonts w:ascii="Calibri" w:hAnsi="Calibri" w:cs="Calibri"/>
          <w:sz w:val="22"/>
          <w:szCs w:val="22"/>
        </w:rPr>
        <w:t>: Co-design of learning materials and survey instruments</w:t>
      </w:r>
    </w:p>
    <w:p w14:paraId="4FF56107" w14:textId="77777777" w:rsidR="00C433C7" w:rsidRPr="00C433C7" w:rsidRDefault="00C433C7" w:rsidP="00B97AFB">
      <w:pPr>
        <w:numPr>
          <w:ilvl w:val="0"/>
          <w:numId w:val="12"/>
        </w:numPr>
        <w:spacing w:line="240" w:lineRule="atLeast"/>
        <w:ind w:left="714" w:hanging="357"/>
        <w:jc w:val="both"/>
        <w:rPr>
          <w:rFonts w:ascii="Calibri" w:hAnsi="Calibri" w:cs="Calibri"/>
          <w:sz w:val="22"/>
          <w:szCs w:val="22"/>
        </w:rPr>
      </w:pPr>
      <w:r w:rsidRPr="00C433C7">
        <w:rPr>
          <w:rFonts w:ascii="Calibri" w:hAnsi="Calibri" w:cs="Calibri"/>
          <w:b/>
          <w:bCs/>
          <w:sz w:val="22"/>
          <w:szCs w:val="22"/>
        </w:rPr>
        <w:t>Jan-Feb 2026</w:t>
      </w:r>
      <w:r w:rsidRPr="00C433C7">
        <w:rPr>
          <w:rFonts w:ascii="Calibri" w:hAnsi="Calibri" w:cs="Calibri"/>
          <w:sz w:val="22"/>
          <w:szCs w:val="22"/>
        </w:rPr>
        <w:t>: Pilot testing of puzzle-based activities</w:t>
      </w:r>
    </w:p>
    <w:p w14:paraId="13982DA6" w14:textId="77777777" w:rsidR="00C433C7" w:rsidRPr="00C433C7" w:rsidRDefault="00C433C7" w:rsidP="00B97AFB">
      <w:pPr>
        <w:numPr>
          <w:ilvl w:val="0"/>
          <w:numId w:val="12"/>
        </w:numPr>
        <w:spacing w:line="240" w:lineRule="atLeast"/>
        <w:ind w:left="714" w:hanging="357"/>
        <w:jc w:val="both"/>
        <w:rPr>
          <w:rFonts w:ascii="Calibri" w:hAnsi="Calibri" w:cs="Calibri"/>
          <w:sz w:val="22"/>
          <w:szCs w:val="22"/>
        </w:rPr>
      </w:pPr>
      <w:r w:rsidRPr="00C433C7">
        <w:rPr>
          <w:rFonts w:ascii="Calibri" w:hAnsi="Calibri" w:cs="Calibri"/>
          <w:b/>
          <w:bCs/>
          <w:sz w:val="22"/>
          <w:szCs w:val="22"/>
        </w:rPr>
        <w:t>Mar-Jun 2026</w:t>
      </w:r>
      <w:r w:rsidRPr="00C433C7">
        <w:rPr>
          <w:rFonts w:ascii="Calibri" w:hAnsi="Calibri" w:cs="Calibri"/>
          <w:sz w:val="22"/>
          <w:szCs w:val="22"/>
        </w:rPr>
        <w:t>: Full implementation and data collection</w:t>
      </w:r>
    </w:p>
    <w:p w14:paraId="501C068E" w14:textId="77777777" w:rsidR="00C433C7" w:rsidRPr="00C433C7" w:rsidRDefault="00C433C7" w:rsidP="00B97AFB">
      <w:pPr>
        <w:numPr>
          <w:ilvl w:val="0"/>
          <w:numId w:val="12"/>
        </w:numPr>
        <w:spacing w:line="240" w:lineRule="atLeast"/>
        <w:ind w:left="714" w:hanging="357"/>
        <w:jc w:val="both"/>
        <w:rPr>
          <w:rFonts w:ascii="Calibri" w:hAnsi="Calibri" w:cs="Calibri"/>
          <w:sz w:val="22"/>
          <w:szCs w:val="22"/>
        </w:rPr>
      </w:pPr>
      <w:r w:rsidRPr="00C433C7">
        <w:rPr>
          <w:rFonts w:ascii="Calibri" w:hAnsi="Calibri" w:cs="Calibri"/>
          <w:b/>
          <w:bCs/>
          <w:sz w:val="22"/>
          <w:szCs w:val="22"/>
        </w:rPr>
        <w:t>Jul-Aug 2026</w:t>
      </w:r>
      <w:r w:rsidRPr="00C433C7">
        <w:rPr>
          <w:rFonts w:ascii="Calibri" w:hAnsi="Calibri" w:cs="Calibri"/>
          <w:sz w:val="22"/>
          <w:szCs w:val="22"/>
        </w:rPr>
        <w:t>: Data analysis and interpretation</w:t>
      </w:r>
    </w:p>
    <w:p w14:paraId="048D26DA" w14:textId="26A2C444" w:rsidR="00846BD5" w:rsidRDefault="00C433C7" w:rsidP="00B97AFB">
      <w:pPr>
        <w:numPr>
          <w:ilvl w:val="0"/>
          <w:numId w:val="12"/>
        </w:numPr>
        <w:spacing w:line="240" w:lineRule="atLeast"/>
        <w:ind w:left="714" w:hanging="357"/>
        <w:jc w:val="both"/>
        <w:rPr>
          <w:rFonts w:ascii="Calibri" w:hAnsi="Calibri" w:cs="Calibri"/>
          <w:sz w:val="22"/>
          <w:szCs w:val="22"/>
        </w:rPr>
      </w:pPr>
      <w:r w:rsidRPr="00C433C7">
        <w:rPr>
          <w:rFonts w:ascii="Calibri" w:hAnsi="Calibri" w:cs="Calibri"/>
          <w:b/>
          <w:bCs/>
          <w:sz w:val="22"/>
          <w:szCs w:val="22"/>
        </w:rPr>
        <w:t>Sep 2026</w:t>
      </w:r>
      <w:r w:rsidRPr="00C433C7">
        <w:rPr>
          <w:rFonts w:ascii="Calibri" w:hAnsi="Calibri" w:cs="Calibri"/>
          <w:sz w:val="22"/>
          <w:szCs w:val="22"/>
        </w:rPr>
        <w:t>: Dissemination of findings (conference presentations, publication)</w:t>
      </w:r>
    </w:p>
    <w:p w14:paraId="13AA8924" w14:textId="77777777" w:rsidR="00B97AFB" w:rsidRDefault="00B97AFB" w:rsidP="00B97AFB">
      <w:pPr>
        <w:spacing w:line="240" w:lineRule="atLeast"/>
        <w:jc w:val="both"/>
        <w:rPr>
          <w:rFonts w:ascii="Calibri" w:hAnsi="Calibri" w:cs="Calibri"/>
          <w:sz w:val="22"/>
          <w:szCs w:val="22"/>
        </w:rPr>
      </w:pPr>
    </w:p>
    <w:p w14:paraId="311E2D70" w14:textId="77777777" w:rsidR="00B97AFB" w:rsidRPr="000D5DE4" w:rsidRDefault="00B97AFB" w:rsidP="00B97AFB">
      <w:pPr>
        <w:spacing w:line="240" w:lineRule="atLeast"/>
        <w:jc w:val="both"/>
        <w:rPr>
          <w:rFonts w:ascii="Calibri" w:hAnsi="Calibri" w:cs="Calibri"/>
          <w:sz w:val="22"/>
          <w:szCs w:val="22"/>
        </w:rPr>
      </w:pPr>
    </w:p>
    <w:p w14:paraId="68D52481" w14:textId="38DA89C9" w:rsidR="000D5DE4" w:rsidRDefault="000D5DE4" w:rsidP="000D5DE4">
      <w:pPr>
        <w:pStyle w:val="ListParagraph"/>
        <w:numPr>
          <w:ilvl w:val="0"/>
          <w:numId w:val="14"/>
        </w:numPr>
        <w:spacing w:before="240" w:after="240"/>
        <w:ind w:left="357" w:hanging="357"/>
        <w:rPr>
          <w:rFonts w:ascii="Calibri" w:hAnsi="Calibri" w:cs="Calibri"/>
          <w:b/>
          <w:bCs/>
          <w:sz w:val="22"/>
          <w:szCs w:val="22"/>
        </w:rPr>
      </w:pPr>
      <w:r w:rsidRPr="000D5DE4">
        <w:rPr>
          <w:rFonts w:ascii="Calibri" w:hAnsi="Calibri" w:cs="Calibri"/>
          <w:b/>
          <w:bCs/>
          <w:sz w:val="22"/>
          <w:szCs w:val="22"/>
        </w:rPr>
        <w:lastRenderedPageBreak/>
        <w:t>Ethical Considerations</w:t>
      </w:r>
    </w:p>
    <w:p w14:paraId="6325F9DF" w14:textId="77777777" w:rsidR="000D5DE4" w:rsidRPr="000D5DE4" w:rsidRDefault="000D5DE4" w:rsidP="000D5DE4">
      <w:pPr>
        <w:pStyle w:val="ListParagraph"/>
        <w:spacing w:before="240" w:after="240"/>
        <w:ind w:left="357"/>
        <w:rPr>
          <w:rFonts w:ascii="Calibri" w:hAnsi="Calibri" w:cs="Calibri"/>
          <w:b/>
          <w:bCs/>
          <w:sz w:val="22"/>
          <w:szCs w:val="22"/>
        </w:rPr>
      </w:pPr>
    </w:p>
    <w:p w14:paraId="53E64C84" w14:textId="77777777" w:rsidR="000D5DE4" w:rsidRPr="000D5DE4" w:rsidRDefault="000D5DE4" w:rsidP="000D5DE4">
      <w:pPr>
        <w:pStyle w:val="ListParagraph"/>
        <w:numPr>
          <w:ilvl w:val="1"/>
          <w:numId w:val="14"/>
        </w:numPr>
        <w:spacing w:before="240"/>
        <w:ind w:left="720"/>
        <w:rPr>
          <w:rFonts w:ascii="Calibri" w:hAnsi="Calibri" w:cs="Calibri"/>
          <w:b/>
          <w:bCs/>
          <w:sz w:val="22"/>
          <w:szCs w:val="22"/>
        </w:rPr>
      </w:pPr>
      <w:r w:rsidRPr="000D5DE4">
        <w:rPr>
          <w:rFonts w:ascii="Calibri" w:hAnsi="Calibri" w:cs="Calibri"/>
          <w:b/>
          <w:bCs/>
          <w:sz w:val="22"/>
          <w:szCs w:val="22"/>
        </w:rPr>
        <w:t>Informed Consent</w:t>
      </w:r>
    </w:p>
    <w:p w14:paraId="4512541F" w14:textId="77777777" w:rsidR="000D5DE4" w:rsidRPr="000D5DE4" w:rsidRDefault="000D5DE4" w:rsidP="000D5DE4">
      <w:pPr>
        <w:jc w:val="both"/>
        <w:rPr>
          <w:rFonts w:ascii="Calibri" w:hAnsi="Calibri" w:cs="Calibri"/>
          <w:sz w:val="22"/>
          <w:szCs w:val="22"/>
        </w:rPr>
      </w:pPr>
      <w:r w:rsidRPr="000D5DE4">
        <w:rPr>
          <w:rFonts w:ascii="Calibri" w:hAnsi="Calibri" w:cs="Calibri"/>
          <w:sz w:val="22"/>
          <w:szCs w:val="22"/>
        </w:rPr>
        <w:t>Participants (students and educators) will be informed about the study aims, procedures, risks, and benefits. Consent will be obtained prior to data collection, with clear information on the right to withdraw at any time without penalty.</w:t>
      </w:r>
    </w:p>
    <w:p w14:paraId="6B31FFE0" w14:textId="77777777" w:rsidR="000D5DE4" w:rsidRPr="000D5DE4" w:rsidRDefault="000D5DE4" w:rsidP="000D5DE4">
      <w:pPr>
        <w:pStyle w:val="ListParagraph"/>
        <w:numPr>
          <w:ilvl w:val="1"/>
          <w:numId w:val="14"/>
        </w:numPr>
        <w:spacing w:before="240"/>
        <w:ind w:left="720"/>
        <w:rPr>
          <w:rFonts w:ascii="Calibri" w:hAnsi="Calibri" w:cs="Calibri"/>
          <w:b/>
          <w:bCs/>
          <w:sz w:val="22"/>
          <w:szCs w:val="22"/>
        </w:rPr>
      </w:pPr>
      <w:r w:rsidRPr="000D5DE4">
        <w:rPr>
          <w:rFonts w:ascii="Calibri" w:hAnsi="Calibri" w:cs="Calibri"/>
          <w:b/>
          <w:bCs/>
          <w:sz w:val="22"/>
          <w:szCs w:val="22"/>
        </w:rPr>
        <w:t>Confidentiality and Anonymity</w:t>
      </w:r>
    </w:p>
    <w:p w14:paraId="783233AD" w14:textId="77777777" w:rsidR="000D5DE4" w:rsidRPr="000D5DE4" w:rsidRDefault="000D5DE4" w:rsidP="000D5DE4">
      <w:pPr>
        <w:jc w:val="both"/>
        <w:rPr>
          <w:rFonts w:ascii="Calibri" w:hAnsi="Calibri" w:cs="Calibri"/>
          <w:sz w:val="22"/>
          <w:szCs w:val="22"/>
        </w:rPr>
      </w:pPr>
      <w:r w:rsidRPr="000D5DE4">
        <w:rPr>
          <w:rFonts w:ascii="Calibri" w:hAnsi="Calibri" w:cs="Calibri"/>
          <w:sz w:val="22"/>
          <w:szCs w:val="22"/>
        </w:rPr>
        <w:t>Data will be anonymized before analysis. Personal identifiers will be stored securely and separately from research data. Confidentiality protocols will comply with GDPR and institutional policies.</w:t>
      </w:r>
    </w:p>
    <w:p w14:paraId="38F56511" w14:textId="77777777" w:rsidR="000D5DE4" w:rsidRPr="000D5DE4" w:rsidRDefault="000D5DE4" w:rsidP="000D5DE4">
      <w:pPr>
        <w:pStyle w:val="ListParagraph"/>
        <w:numPr>
          <w:ilvl w:val="1"/>
          <w:numId w:val="14"/>
        </w:numPr>
        <w:spacing w:before="240"/>
        <w:ind w:left="720"/>
        <w:rPr>
          <w:rFonts w:ascii="Calibri" w:hAnsi="Calibri" w:cs="Calibri"/>
          <w:b/>
          <w:bCs/>
          <w:sz w:val="22"/>
          <w:szCs w:val="22"/>
        </w:rPr>
      </w:pPr>
      <w:r w:rsidRPr="000D5DE4">
        <w:rPr>
          <w:rFonts w:ascii="Calibri" w:hAnsi="Calibri" w:cs="Calibri"/>
          <w:b/>
          <w:bCs/>
          <w:sz w:val="22"/>
          <w:szCs w:val="22"/>
        </w:rPr>
        <w:t>Ethical Approval</w:t>
      </w:r>
    </w:p>
    <w:p w14:paraId="74ED69D1" w14:textId="1285FA68" w:rsidR="000D5DE4" w:rsidRPr="000D5DE4" w:rsidRDefault="000D5DE4" w:rsidP="000D5DE4">
      <w:pPr>
        <w:jc w:val="both"/>
        <w:rPr>
          <w:rFonts w:ascii="Calibri" w:hAnsi="Calibri" w:cs="Calibri"/>
          <w:sz w:val="22"/>
          <w:szCs w:val="22"/>
        </w:rPr>
      </w:pPr>
      <w:r w:rsidRPr="000D5DE4">
        <w:rPr>
          <w:rFonts w:ascii="Calibri" w:hAnsi="Calibri" w:cs="Calibri"/>
          <w:sz w:val="22"/>
          <w:szCs w:val="22"/>
        </w:rPr>
        <w:t>Ethical approval will be sought from each participating institution’s IRB or ethics committee before study commencement, in line with best practices for educational research (Imperial College London guidelines).</w:t>
      </w:r>
    </w:p>
    <w:p w14:paraId="53016931" w14:textId="0EEE9D37" w:rsidR="000D5DE4" w:rsidRPr="000D5DE4" w:rsidRDefault="000D5DE4" w:rsidP="000D5DE4">
      <w:pPr>
        <w:pStyle w:val="ListParagraph"/>
        <w:numPr>
          <w:ilvl w:val="0"/>
          <w:numId w:val="14"/>
        </w:numPr>
        <w:spacing w:before="240" w:after="240"/>
        <w:ind w:left="357" w:hanging="357"/>
        <w:rPr>
          <w:rFonts w:ascii="Calibri" w:hAnsi="Calibri" w:cs="Calibri"/>
          <w:b/>
          <w:bCs/>
          <w:sz w:val="22"/>
          <w:szCs w:val="22"/>
        </w:rPr>
      </w:pPr>
      <w:r w:rsidRPr="000D5DE4">
        <w:rPr>
          <w:rFonts w:ascii="Calibri" w:hAnsi="Calibri" w:cs="Calibri"/>
          <w:b/>
          <w:bCs/>
          <w:sz w:val="22"/>
          <w:szCs w:val="22"/>
        </w:rPr>
        <w:t>Dissemination</w:t>
      </w:r>
    </w:p>
    <w:p w14:paraId="782D56C9" w14:textId="77777777" w:rsidR="000D5DE4" w:rsidRPr="000D5DE4" w:rsidRDefault="000D5DE4" w:rsidP="004C7FBD">
      <w:pPr>
        <w:pStyle w:val="ListParagraph"/>
        <w:numPr>
          <w:ilvl w:val="1"/>
          <w:numId w:val="14"/>
        </w:numPr>
        <w:spacing w:before="240"/>
        <w:ind w:left="340" w:hanging="340"/>
        <w:rPr>
          <w:rFonts w:ascii="Calibri" w:hAnsi="Calibri" w:cs="Calibri"/>
          <w:b/>
          <w:bCs/>
          <w:sz w:val="22"/>
          <w:szCs w:val="22"/>
        </w:rPr>
      </w:pPr>
      <w:r w:rsidRPr="000D5DE4">
        <w:rPr>
          <w:rFonts w:ascii="Calibri" w:hAnsi="Calibri" w:cs="Calibri"/>
          <w:b/>
          <w:bCs/>
          <w:sz w:val="22"/>
          <w:szCs w:val="22"/>
        </w:rPr>
        <w:t>Plans for Publication</w:t>
      </w:r>
    </w:p>
    <w:p w14:paraId="7E6762FD" w14:textId="77777777" w:rsidR="000D5DE4" w:rsidRPr="000D5DE4" w:rsidRDefault="000D5DE4" w:rsidP="000D5DE4">
      <w:pPr>
        <w:rPr>
          <w:rFonts w:ascii="Calibri" w:hAnsi="Calibri" w:cs="Calibri"/>
          <w:sz w:val="22"/>
          <w:szCs w:val="22"/>
        </w:rPr>
      </w:pPr>
      <w:r w:rsidRPr="000D5DE4">
        <w:rPr>
          <w:rFonts w:ascii="Calibri" w:hAnsi="Calibri" w:cs="Calibri"/>
          <w:sz w:val="22"/>
          <w:szCs w:val="22"/>
        </w:rPr>
        <w:t>Findings will be disseminated through academic conferences (e.g., UKICER), peer-reviewed journal articles, and an open-access toolkit for designing non-linear puzzle-based learning in computing education.</w:t>
      </w:r>
    </w:p>
    <w:p w14:paraId="5F4D7B6B" w14:textId="77777777" w:rsidR="000D5DE4" w:rsidRPr="000D5DE4" w:rsidRDefault="000D5DE4" w:rsidP="000D5DE4">
      <w:pPr>
        <w:pStyle w:val="ListParagraph"/>
        <w:numPr>
          <w:ilvl w:val="1"/>
          <w:numId w:val="14"/>
        </w:numPr>
        <w:spacing w:before="240"/>
        <w:ind w:left="720"/>
        <w:rPr>
          <w:rFonts w:ascii="Calibri" w:hAnsi="Calibri" w:cs="Calibri"/>
          <w:b/>
          <w:bCs/>
          <w:sz w:val="22"/>
          <w:szCs w:val="22"/>
        </w:rPr>
      </w:pPr>
      <w:r w:rsidRPr="000D5DE4">
        <w:rPr>
          <w:rFonts w:ascii="Calibri" w:hAnsi="Calibri" w:cs="Calibri"/>
          <w:b/>
          <w:bCs/>
          <w:sz w:val="22"/>
          <w:szCs w:val="22"/>
        </w:rPr>
        <w:t>Impact and Application</w:t>
      </w:r>
    </w:p>
    <w:p w14:paraId="0EF89533" w14:textId="1D829E99" w:rsidR="000D5DE4" w:rsidRPr="000D5DE4" w:rsidRDefault="000D5DE4" w:rsidP="000D5DE4">
      <w:pPr>
        <w:jc w:val="both"/>
        <w:rPr>
          <w:rFonts w:ascii="Calibri" w:hAnsi="Calibri" w:cs="Calibri"/>
          <w:sz w:val="22"/>
          <w:szCs w:val="22"/>
        </w:rPr>
      </w:pPr>
      <w:r w:rsidRPr="000D5DE4">
        <w:rPr>
          <w:rFonts w:ascii="Calibri" w:hAnsi="Calibri" w:cs="Calibri"/>
          <w:sz w:val="22"/>
          <w:szCs w:val="22"/>
        </w:rPr>
        <w:t>This project aims to provide educators with validated resources and evidence-based strategies to enhance student engagement and learning in AI/ML. The insights gained will inform institutional teaching practices and encourage adoption of active, game-inspired pedagogies in STEM education more broadly.</w:t>
      </w:r>
    </w:p>
    <w:p w14:paraId="71808A89" w14:textId="244B1948" w:rsidR="000D5DE4" w:rsidRDefault="000D5DE4" w:rsidP="000D5DE4">
      <w:pPr>
        <w:pStyle w:val="ListParagraph"/>
        <w:numPr>
          <w:ilvl w:val="0"/>
          <w:numId w:val="14"/>
        </w:numPr>
        <w:spacing w:before="240" w:after="240"/>
        <w:ind w:left="357" w:hanging="357"/>
        <w:rPr>
          <w:rFonts w:ascii="Calibri" w:hAnsi="Calibri" w:cs="Calibri"/>
          <w:b/>
          <w:bCs/>
          <w:sz w:val="22"/>
          <w:szCs w:val="22"/>
        </w:rPr>
      </w:pPr>
      <w:r w:rsidRPr="000D5DE4">
        <w:rPr>
          <w:rFonts w:ascii="Calibri" w:hAnsi="Calibri" w:cs="Calibri"/>
          <w:b/>
          <w:bCs/>
          <w:sz w:val="22"/>
          <w:szCs w:val="22"/>
        </w:rPr>
        <w:t>Other Important Sections</w:t>
      </w:r>
    </w:p>
    <w:p w14:paraId="78A6835E" w14:textId="77777777" w:rsidR="00B97AFB" w:rsidRPr="000D5DE4" w:rsidRDefault="00B97AFB" w:rsidP="00B97AFB">
      <w:pPr>
        <w:pStyle w:val="ListParagraph"/>
        <w:spacing w:before="240" w:after="240"/>
        <w:ind w:left="357"/>
        <w:rPr>
          <w:rFonts w:ascii="Calibri" w:hAnsi="Calibri" w:cs="Calibri"/>
          <w:b/>
          <w:bCs/>
          <w:sz w:val="22"/>
          <w:szCs w:val="22"/>
        </w:rPr>
      </w:pPr>
    </w:p>
    <w:p w14:paraId="6B4F8EC5" w14:textId="77777777" w:rsidR="000D5DE4" w:rsidRPr="000D5DE4" w:rsidRDefault="000D5DE4" w:rsidP="000D5DE4">
      <w:pPr>
        <w:pStyle w:val="ListParagraph"/>
        <w:numPr>
          <w:ilvl w:val="1"/>
          <w:numId w:val="14"/>
        </w:numPr>
        <w:spacing w:before="240"/>
        <w:ind w:left="720"/>
        <w:rPr>
          <w:rFonts w:ascii="Calibri" w:hAnsi="Calibri" w:cs="Calibri"/>
          <w:b/>
          <w:bCs/>
          <w:sz w:val="22"/>
          <w:szCs w:val="22"/>
        </w:rPr>
      </w:pPr>
      <w:r w:rsidRPr="000D5DE4">
        <w:rPr>
          <w:rFonts w:ascii="Calibri" w:hAnsi="Calibri" w:cs="Calibri"/>
          <w:b/>
          <w:bCs/>
          <w:sz w:val="22"/>
          <w:szCs w:val="22"/>
        </w:rPr>
        <w:t>Project Management</w:t>
      </w:r>
    </w:p>
    <w:p w14:paraId="0866A81A" w14:textId="6DC1EFC3" w:rsidR="000D5DE4" w:rsidRPr="000D5DE4" w:rsidRDefault="000D5DE4" w:rsidP="00B97AFB">
      <w:pPr>
        <w:jc w:val="both"/>
        <w:rPr>
          <w:rFonts w:ascii="Calibri" w:hAnsi="Calibri" w:cs="Calibri"/>
          <w:sz w:val="22"/>
          <w:szCs w:val="22"/>
        </w:rPr>
      </w:pPr>
      <w:r w:rsidRPr="000D5DE4">
        <w:rPr>
          <w:rFonts w:ascii="Calibri" w:hAnsi="Calibri" w:cs="Calibri"/>
          <w:sz w:val="22"/>
          <w:szCs w:val="22"/>
        </w:rPr>
        <w:t>The project team comprises a network of educators, researchers, and instructional designers from multiple institutions. Resources include collaborative platforms for co-design and data sharing. Funding and budget allocations will be coordinated according to institutional contributions.</w:t>
      </w:r>
    </w:p>
    <w:p w14:paraId="37CCB025" w14:textId="77777777" w:rsidR="000D5DE4" w:rsidRPr="000D5DE4" w:rsidRDefault="000D5DE4" w:rsidP="000D5DE4">
      <w:pPr>
        <w:rPr>
          <w:rFonts w:ascii="Calibri" w:hAnsi="Calibri" w:cs="Calibri"/>
          <w:b/>
          <w:bCs/>
          <w:sz w:val="22"/>
          <w:szCs w:val="22"/>
        </w:rPr>
      </w:pPr>
      <w:r w:rsidRPr="000D5DE4">
        <w:rPr>
          <w:rFonts w:ascii="Calibri" w:hAnsi="Calibri" w:cs="Calibri"/>
          <w:b/>
          <w:bCs/>
          <w:sz w:val="22"/>
          <w:szCs w:val="22"/>
        </w:rPr>
        <w:t>References</w:t>
      </w:r>
    </w:p>
    <w:p w14:paraId="428E3BBB" w14:textId="77777777" w:rsidR="000D5DE4" w:rsidRPr="000D5DE4" w:rsidRDefault="000D5DE4" w:rsidP="000D5DE4">
      <w:pPr>
        <w:rPr>
          <w:rFonts w:ascii="Calibri" w:hAnsi="Calibri" w:cs="Calibri"/>
          <w:sz w:val="22"/>
          <w:szCs w:val="22"/>
        </w:rPr>
      </w:pPr>
      <w:r w:rsidRPr="000D5DE4">
        <w:rPr>
          <w:rFonts w:ascii="Calibri" w:hAnsi="Calibri" w:cs="Calibri"/>
          <w:sz w:val="22"/>
          <w:szCs w:val="22"/>
        </w:rPr>
        <w:t>A full list of cited literature will be maintained, including key works on non-linear pedagogy, puzzle-based learning, and gamification in higher education.</w:t>
      </w:r>
    </w:p>
    <w:p w14:paraId="659648ED" w14:textId="77777777" w:rsidR="000D5DE4" w:rsidRPr="000D5DE4" w:rsidRDefault="000D5DE4" w:rsidP="000D5DE4">
      <w:pPr>
        <w:rPr>
          <w:rFonts w:ascii="Calibri" w:hAnsi="Calibri" w:cs="Calibri"/>
          <w:b/>
          <w:bCs/>
          <w:sz w:val="22"/>
          <w:szCs w:val="22"/>
        </w:rPr>
      </w:pPr>
      <w:r w:rsidRPr="000D5DE4">
        <w:rPr>
          <w:rFonts w:ascii="Calibri" w:hAnsi="Calibri" w:cs="Calibri"/>
          <w:b/>
          <w:bCs/>
          <w:sz w:val="22"/>
          <w:szCs w:val="22"/>
        </w:rPr>
        <w:t>Appendices</w:t>
      </w:r>
    </w:p>
    <w:p w14:paraId="3EE2FC40" w14:textId="4417F005" w:rsidR="000E716A" w:rsidRPr="000D5DE4" w:rsidRDefault="000D5DE4" w:rsidP="00B97AFB">
      <w:pPr>
        <w:rPr>
          <w:rFonts w:ascii="Calibri" w:hAnsi="Calibri" w:cs="Calibri"/>
          <w:sz w:val="22"/>
          <w:szCs w:val="22"/>
        </w:rPr>
      </w:pPr>
      <w:r w:rsidRPr="000D5DE4">
        <w:rPr>
          <w:rFonts w:ascii="Calibri" w:hAnsi="Calibri" w:cs="Calibri"/>
          <w:sz w:val="22"/>
          <w:szCs w:val="22"/>
        </w:rPr>
        <w:t>Supporting documents such as consent forms, survey instruments, curriculum outlines, and educator reflection templates will be provided.</w:t>
      </w:r>
    </w:p>
    <w:sectPr w:rsidR="000E716A" w:rsidRPr="000D5D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D1907"/>
    <w:multiLevelType w:val="hybridMultilevel"/>
    <w:tmpl w:val="A3380DF0"/>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173ED7"/>
    <w:multiLevelType w:val="hybridMultilevel"/>
    <w:tmpl w:val="1AB62D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6424B7A"/>
    <w:multiLevelType w:val="multilevel"/>
    <w:tmpl w:val="A5F2E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241927"/>
    <w:multiLevelType w:val="multilevel"/>
    <w:tmpl w:val="FDF09A5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17E67ACB"/>
    <w:multiLevelType w:val="multilevel"/>
    <w:tmpl w:val="2E98C284"/>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530597"/>
    <w:multiLevelType w:val="multilevel"/>
    <w:tmpl w:val="27506EA6"/>
    <w:lvl w:ilvl="0">
      <w:start w:val="1"/>
      <w:numFmt w:val="lowerLetter"/>
      <w:lvlText w:val="%1)"/>
      <w:lvlJc w:val="left"/>
      <w:pPr>
        <w:tabs>
          <w:tab w:val="num" w:pos="1080"/>
        </w:tabs>
        <w:ind w:left="1080" w:hanging="360"/>
      </w:pPr>
      <w:rPr>
        <w:rFont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1BF8257A"/>
    <w:multiLevelType w:val="multilevel"/>
    <w:tmpl w:val="E9C49C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5C7D65"/>
    <w:multiLevelType w:val="multilevel"/>
    <w:tmpl w:val="27506EA6"/>
    <w:lvl w:ilvl="0">
      <w:start w:val="1"/>
      <w:numFmt w:val="lowerLetter"/>
      <w:lvlText w:val="%1)"/>
      <w:lvlJc w:val="left"/>
      <w:pPr>
        <w:tabs>
          <w:tab w:val="num" w:pos="1080"/>
        </w:tabs>
        <w:ind w:left="1080" w:hanging="360"/>
      </w:pPr>
      <w:rPr>
        <w:rFont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225D06E4"/>
    <w:multiLevelType w:val="hybridMultilevel"/>
    <w:tmpl w:val="34923E24"/>
    <w:lvl w:ilvl="0" w:tplc="08090017">
      <w:start w:val="1"/>
      <w:numFmt w:val="lowerLetter"/>
      <w:lvlText w:val="%1)"/>
      <w:lvlJc w:val="left"/>
      <w:pPr>
        <w:ind w:left="1080" w:hanging="360"/>
      </w:pPr>
      <w:rPr>
        <w:rFont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237F7B67"/>
    <w:multiLevelType w:val="multilevel"/>
    <w:tmpl w:val="01045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A57177"/>
    <w:multiLevelType w:val="multilevel"/>
    <w:tmpl w:val="5A247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934B64"/>
    <w:multiLevelType w:val="multilevel"/>
    <w:tmpl w:val="ED404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AA1137"/>
    <w:multiLevelType w:val="multilevel"/>
    <w:tmpl w:val="4DE80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3A2D65"/>
    <w:multiLevelType w:val="multilevel"/>
    <w:tmpl w:val="6330C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A032E6"/>
    <w:multiLevelType w:val="multilevel"/>
    <w:tmpl w:val="27506EA6"/>
    <w:lvl w:ilvl="0">
      <w:start w:val="1"/>
      <w:numFmt w:val="lowerLetter"/>
      <w:lvlText w:val="%1)"/>
      <w:lvlJc w:val="left"/>
      <w:pPr>
        <w:tabs>
          <w:tab w:val="num" w:pos="1080"/>
        </w:tabs>
        <w:ind w:left="1080" w:hanging="360"/>
      </w:pPr>
      <w:rPr>
        <w:rFont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15:restartNumberingAfterBreak="0">
    <w:nsid w:val="37B84BD4"/>
    <w:multiLevelType w:val="multilevel"/>
    <w:tmpl w:val="96B65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E90D3C"/>
    <w:multiLevelType w:val="multilevel"/>
    <w:tmpl w:val="D3DEA44E"/>
    <w:lvl w:ilvl="0">
      <w:start w:val="1"/>
      <w:numFmt w:val="decimal"/>
      <w:lvlText w:val="%1)"/>
      <w:lvlJc w:val="left"/>
      <w:pPr>
        <w:tabs>
          <w:tab w:val="num" w:pos="360"/>
        </w:tabs>
        <w:ind w:left="36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3C0C6488"/>
    <w:multiLevelType w:val="multilevel"/>
    <w:tmpl w:val="21E83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9A1184"/>
    <w:multiLevelType w:val="multilevel"/>
    <w:tmpl w:val="60E46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CC6BF3"/>
    <w:multiLevelType w:val="multilevel"/>
    <w:tmpl w:val="2AB4C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4312D0"/>
    <w:multiLevelType w:val="multilevel"/>
    <w:tmpl w:val="CFEAD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7E25DC"/>
    <w:multiLevelType w:val="multilevel"/>
    <w:tmpl w:val="27506EA6"/>
    <w:lvl w:ilvl="0">
      <w:start w:val="1"/>
      <w:numFmt w:val="lowerLetter"/>
      <w:lvlText w:val="%1)"/>
      <w:lvlJc w:val="left"/>
      <w:pPr>
        <w:tabs>
          <w:tab w:val="num" w:pos="1080"/>
        </w:tabs>
        <w:ind w:left="1080" w:hanging="360"/>
      </w:pPr>
      <w:rPr>
        <w:rFont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2" w15:restartNumberingAfterBreak="0">
    <w:nsid w:val="62C27CE9"/>
    <w:multiLevelType w:val="multilevel"/>
    <w:tmpl w:val="4C6A0B90"/>
    <w:lvl w:ilvl="0">
      <w:start w:val="1"/>
      <w:numFmt w:val="lowerLetter"/>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0B627E"/>
    <w:multiLevelType w:val="multilevel"/>
    <w:tmpl w:val="A0E02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5CC7D35"/>
    <w:multiLevelType w:val="hybridMultilevel"/>
    <w:tmpl w:val="698226AE"/>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5" w15:restartNumberingAfterBreak="0">
    <w:nsid w:val="760454C5"/>
    <w:multiLevelType w:val="multilevel"/>
    <w:tmpl w:val="C0CCC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9452C92"/>
    <w:multiLevelType w:val="multilevel"/>
    <w:tmpl w:val="2E98C284"/>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B9F5C2E"/>
    <w:multiLevelType w:val="multilevel"/>
    <w:tmpl w:val="27506EA6"/>
    <w:lvl w:ilvl="0">
      <w:start w:val="1"/>
      <w:numFmt w:val="lowerLetter"/>
      <w:lvlText w:val="%1)"/>
      <w:lvlJc w:val="left"/>
      <w:pPr>
        <w:tabs>
          <w:tab w:val="num" w:pos="1080"/>
        </w:tabs>
        <w:ind w:left="1080" w:hanging="360"/>
      </w:pPr>
      <w:rPr>
        <w:rFont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8" w15:restartNumberingAfterBreak="0">
    <w:nsid w:val="7E9146AD"/>
    <w:multiLevelType w:val="multilevel"/>
    <w:tmpl w:val="3DCE7C64"/>
    <w:lvl w:ilvl="0">
      <w:start w:val="1"/>
      <w:numFmt w:val="upp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F1A5FB5"/>
    <w:multiLevelType w:val="multilevel"/>
    <w:tmpl w:val="2E98C284"/>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8034112">
    <w:abstractNumId w:val="20"/>
  </w:num>
  <w:num w:numId="2" w16cid:durableId="72317401">
    <w:abstractNumId w:val="2"/>
  </w:num>
  <w:num w:numId="3" w16cid:durableId="1943107911">
    <w:abstractNumId w:val="18"/>
  </w:num>
  <w:num w:numId="4" w16cid:durableId="1649820188">
    <w:abstractNumId w:val="23"/>
  </w:num>
  <w:num w:numId="5" w16cid:durableId="245850335">
    <w:abstractNumId w:val="25"/>
  </w:num>
  <w:num w:numId="6" w16cid:durableId="1256790998">
    <w:abstractNumId w:val="6"/>
  </w:num>
  <w:num w:numId="7" w16cid:durableId="95709662">
    <w:abstractNumId w:val="9"/>
  </w:num>
  <w:num w:numId="8" w16cid:durableId="580405947">
    <w:abstractNumId w:val="19"/>
  </w:num>
  <w:num w:numId="9" w16cid:durableId="992949780">
    <w:abstractNumId w:val="10"/>
  </w:num>
  <w:num w:numId="10" w16cid:durableId="397558223">
    <w:abstractNumId w:val="16"/>
  </w:num>
  <w:num w:numId="11" w16cid:durableId="1347708248">
    <w:abstractNumId w:val="13"/>
  </w:num>
  <w:num w:numId="12" w16cid:durableId="608439565">
    <w:abstractNumId w:val="15"/>
  </w:num>
  <w:num w:numId="13" w16cid:durableId="960646785">
    <w:abstractNumId w:val="1"/>
  </w:num>
  <w:num w:numId="14" w16cid:durableId="155459508">
    <w:abstractNumId w:val="3"/>
  </w:num>
  <w:num w:numId="15" w16cid:durableId="2008707491">
    <w:abstractNumId w:val="28"/>
  </w:num>
  <w:num w:numId="16" w16cid:durableId="1662418441">
    <w:abstractNumId w:val="21"/>
  </w:num>
  <w:num w:numId="17" w16cid:durableId="962881110">
    <w:abstractNumId w:val="22"/>
  </w:num>
  <w:num w:numId="18" w16cid:durableId="906645116">
    <w:abstractNumId w:val="11"/>
  </w:num>
  <w:num w:numId="19" w16cid:durableId="1959944155">
    <w:abstractNumId w:val="17"/>
  </w:num>
  <w:num w:numId="20" w16cid:durableId="1201085654">
    <w:abstractNumId w:val="12"/>
  </w:num>
  <w:num w:numId="21" w16cid:durableId="1670332457">
    <w:abstractNumId w:val="29"/>
  </w:num>
  <w:num w:numId="22" w16cid:durableId="305933327">
    <w:abstractNumId w:val="26"/>
  </w:num>
  <w:num w:numId="23" w16cid:durableId="217667586">
    <w:abstractNumId w:val="4"/>
  </w:num>
  <w:num w:numId="24" w16cid:durableId="1279412547">
    <w:abstractNumId w:val="24"/>
  </w:num>
  <w:num w:numId="25" w16cid:durableId="2104254270">
    <w:abstractNumId w:val="8"/>
  </w:num>
  <w:num w:numId="26" w16cid:durableId="1432041992">
    <w:abstractNumId w:val="0"/>
  </w:num>
  <w:num w:numId="27" w16cid:durableId="735399755">
    <w:abstractNumId w:val="5"/>
  </w:num>
  <w:num w:numId="28" w16cid:durableId="1772771829">
    <w:abstractNumId w:val="14"/>
  </w:num>
  <w:num w:numId="29" w16cid:durableId="338316783">
    <w:abstractNumId w:val="27"/>
  </w:num>
  <w:num w:numId="30" w16cid:durableId="173284897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16A"/>
    <w:rsid w:val="000D5DE4"/>
    <w:rsid w:val="000E716A"/>
    <w:rsid w:val="00154967"/>
    <w:rsid w:val="004C7FBD"/>
    <w:rsid w:val="00846BD5"/>
    <w:rsid w:val="008E50EF"/>
    <w:rsid w:val="00A40FD7"/>
    <w:rsid w:val="00B97AFB"/>
    <w:rsid w:val="00C433C7"/>
    <w:rsid w:val="00CA11C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2DE94"/>
  <w15:chartTrackingRefBased/>
  <w15:docId w15:val="{D20EE827-3D17-4DE1-9099-6CF71D545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71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E71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E71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71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71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71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71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71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71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71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E71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E71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71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71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71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71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71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716A"/>
    <w:rPr>
      <w:rFonts w:eastAsiaTheme="majorEastAsia" w:cstheme="majorBidi"/>
      <w:color w:val="272727" w:themeColor="text1" w:themeTint="D8"/>
    </w:rPr>
  </w:style>
  <w:style w:type="paragraph" w:styleId="Title">
    <w:name w:val="Title"/>
    <w:basedOn w:val="Normal"/>
    <w:next w:val="Normal"/>
    <w:link w:val="TitleChar"/>
    <w:uiPriority w:val="10"/>
    <w:qFormat/>
    <w:rsid w:val="000E71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71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71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71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716A"/>
    <w:pPr>
      <w:spacing w:before="160"/>
      <w:jc w:val="center"/>
    </w:pPr>
    <w:rPr>
      <w:i/>
      <w:iCs/>
      <w:color w:val="404040" w:themeColor="text1" w:themeTint="BF"/>
    </w:rPr>
  </w:style>
  <w:style w:type="character" w:customStyle="1" w:styleId="QuoteChar">
    <w:name w:val="Quote Char"/>
    <w:basedOn w:val="DefaultParagraphFont"/>
    <w:link w:val="Quote"/>
    <w:uiPriority w:val="29"/>
    <w:rsid w:val="000E716A"/>
    <w:rPr>
      <w:i/>
      <w:iCs/>
      <w:color w:val="404040" w:themeColor="text1" w:themeTint="BF"/>
    </w:rPr>
  </w:style>
  <w:style w:type="paragraph" w:styleId="ListParagraph">
    <w:name w:val="List Paragraph"/>
    <w:basedOn w:val="Normal"/>
    <w:uiPriority w:val="34"/>
    <w:qFormat/>
    <w:rsid w:val="000E716A"/>
    <w:pPr>
      <w:ind w:left="720"/>
      <w:contextualSpacing/>
    </w:pPr>
  </w:style>
  <w:style w:type="character" w:styleId="IntenseEmphasis">
    <w:name w:val="Intense Emphasis"/>
    <w:basedOn w:val="DefaultParagraphFont"/>
    <w:uiPriority w:val="21"/>
    <w:qFormat/>
    <w:rsid w:val="000E716A"/>
    <w:rPr>
      <w:i/>
      <w:iCs/>
      <w:color w:val="0F4761" w:themeColor="accent1" w:themeShade="BF"/>
    </w:rPr>
  </w:style>
  <w:style w:type="paragraph" w:styleId="IntenseQuote">
    <w:name w:val="Intense Quote"/>
    <w:basedOn w:val="Normal"/>
    <w:next w:val="Normal"/>
    <w:link w:val="IntenseQuoteChar"/>
    <w:uiPriority w:val="30"/>
    <w:qFormat/>
    <w:rsid w:val="000E71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716A"/>
    <w:rPr>
      <w:i/>
      <w:iCs/>
      <w:color w:val="0F4761" w:themeColor="accent1" w:themeShade="BF"/>
    </w:rPr>
  </w:style>
  <w:style w:type="character" w:styleId="IntenseReference">
    <w:name w:val="Intense Reference"/>
    <w:basedOn w:val="DefaultParagraphFont"/>
    <w:uiPriority w:val="32"/>
    <w:qFormat/>
    <w:rsid w:val="000E716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227525">
      <w:bodyDiv w:val="1"/>
      <w:marLeft w:val="0"/>
      <w:marRight w:val="0"/>
      <w:marTop w:val="0"/>
      <w:marBottom w:val="0"/>
      <w:divBdr>
        <w:top w:val="none" w:sz="0" w:space="0" w:color="auto"/>
        <w:left w:val="none" w:sz="0" w:space="0" w:color="auto"/>
        <w:bottom w:val="none" w:sz="0" w:space="0" w:color="auto"/>
        <w:right w:val="none" w:sz="0" w:space="0" w:color="auto"/>
      </w:divBdr>
    </w:div>
    <w:div w:id="235867069">
      <w:bodyDiv w:val="1"/>
      <w:marLeft w:val="0"/>
      <w:marRight w:val="0"/>
      <w:marTop w:val="0"/>
      <w:marBottom w:val="0"/>
      <w:divBdr>
        <w:top w:val="none" w:sz="0" w:space="0" w:color="auto"/>
        <w:left w:val="none" w:sz="0" w:space="0" w:color="auto"/>
        <w:bottom w:val="none" w:sz="0" w:space="0" w:color="auto"/>
        <w:right w:val="none" w:sz="0" w:space="0" w:color="auto"/>
      </w:divBdr>
    </w:div>
    <w:div w:id="599407835">
      <w:bodyDiv w:val="1"/>
      <w:marLeft w:val="0"/>
      <w:marRight w:val="0"/>
      <w:marTop w:val="0"/>
      <w:marBottom w:val="0"/>
      <w:divBdr>
        <w:top w:val="none" w:sz="0" w:space="0" w:color="auto"/>
        <w:left w:val="none" w:sz="0" w:space="0" w:color="auto"/>
        <w:bottom w:val="none" w:sz="0" w:space="0" w:color="auto"/>
        <w:right w:val="none" w:sz="0" w:space="0" w:color="auto"/>
      </w:divBdr>
    </w:div>
    <w:div w:id="768552166">
      <w:bodyDiv w:val="1"/>
      <w:marLeft w:val="0"/>
      <w:marRight w:val="0"/>
      <w:marTop w:val="0"/>
      <w:marBottom w:val="0"/>
      <w:divBdr>
        <w:top w:val="none" w:sz="0" w:space="0" w:color="auto"/>
        <w:left w:val="none" w:sz="0" w:space="0" w:color="auto"/>
        <w:bottom w:val="none" w:sz="0" w:space="0" w:color="auto"/>
        <w:right w:val="none" w:sz="0" w:space="0" w:color="auto"/>
      </w:divBdr>
    </w:div>
    <w:div w:id="993097143">
      <w:bodyDiv w:val="1"/>
      <w:marLeft w:val="0"/>
      <w:marRight w:val="0"/>
      <w:marTop w:val="0"/>
      <w:marBottom w:val="0"/>
      <w:divBdr>
        <w:top w:val="none" w:sz="0" w:space="0" w:color="auto"/>
        <w:left w:val="none" w:sz="0" w:space="0" w:color="auto"/>
        <w:bottom w:val="none" w:sz="0" w:space="0" w:color="auto"/>
        <w:right w:val="none" w:sz="0" w:space="0" w:color="auto"/>
      </w:divBdr>
    </w:div>
    <w:div w:id="1518037496">
      <w:bodyDiv w:val="1"/>
      <w:marLeft w:val="0"/>
      <w:marRight w:val="0"/>
      <w:marTop w:val="0"/>
      <w:marBottom w:val="0"/>
      <w:divBdr>
        <w:top w:val="none" w:sz="0" w:space="0" w:color="auto"/>
        <w:left w:val="none" w:sz="0" w:space="0" w:color="auto"/>
        <w:bottom w:val="none" w:sz="0" w:space="0" w:color="auto"/>
        <w:right w:val="none" w:sz="0" w:space="0" w:color="auto"/>
      </w:divBdr>
    </w:div>
    <w:div w:id="1556693479">
      <w:bodyDiv w:val="1"/>
      <w:marLeft w:val="0"/>
      <w:marRight w:val="0"/>
      <w:marTop w:val="0"/>
      <w:marBottom w:val="0"/>
      <w:divBdr>
        <w:top w:val="none" w:sz="0" w:space="0" w:color="auto"/>
        <w:left w:val="none" w:sz="0" w:space="0" w:color="auto"/>
        <w:bottom w:val="none" w:sz="0" w:space="0" w:color="auto"/>
        <w:right w:val="none" w:sz="0" w:space="0" w:color="auto"/>
      </w:divBdr>
    </w:div>
    <w:div w:id="1581408277">
      <w:bodyDiv w:val="1"/>
      <w:marLeft w:val="0"/>
      <w:marRight w:val="0"/>
      <w:marTop w:val="0"/>
      <w:marBottom w:val="0"/>
      <w:divBdr>
        <w:top w:val="none" w:sz="0" w:space="0" w:color="auto"/>
        <w:left w:val="none" w:sz="0" w:space="0" w:color="auto"/>
        <w:bottom w:val="none" w:sz="0" w:space="0" w:color="auto"/>
        <w:right w:val="none" w:sz="0" w:space="0" w:color="auto"/>
      </w:divBdr>
    </w:div>
    <w:div w:id="1643197065">
      <w:bodyDiv w:val="1"/>
      <w:marLeft w:val="0"/>
      <w:marRight w:val="0"/>
      <w:marTop w:val="0"/>
      <w:marBottom w:val="0"/>
      <w:divBdr>
        <w:top w:val="none" w:sz="0" w:space="0" w:color="auto"/>
        <w:left w:val="none" w:sz="0" w:space="0" w:color="auto"/>
        <w:bottom w:val="none" w:sz="0" w:space="0" w:color="auto"/>
        <w:right w:val="none" w:sz="0" w:space="0" w:color="auto"/>
      </w:divBdr>
    </w:div>
    <w:div w:id="1763527693">
      <w:bodyDiv w:val="1"/>
      <w:marLeft w:val="0"/>
      <w:marRight w:val="0"/>
      <w:marTop w:val="0"/>
      <w:marBottom w:val="0"/>
      <w:divBdr>
        <w:top w:val="none" w:sz="0" w:space="0" w:color="auto"/>
        <w:left w:val="none" w:sz="0" w:space="0" w:color="auto"/>
        <w:bottom w:val="none" w:sz="0" w:space="0" w:color="auto"/>
        <w:right w:val="none" w:sz="0" w:space="0" w:color="auto"/>
      </w:divBdr>
    </w:div>
    <w:div w:id="1993825273">
      <w:bodyDiv w:val="1"/>
      <w:marLeft w:val="0"/>
      <w:marRight w:val="0"/>
      <w:marTop w:val="0"/>
      <w:marBottom w:val="0"/>
      <w:divBdr>
        <w:top w:val="none" w:sz="0" w:space="0" w:color="auto"/>
        <w:left w:val="none" w:sz="0" w:space="0" w:color="auto"/>
        <w:bottom w:val="none" w:sz="0" w:space="0" w:color="auto"/>
        <w:right w:val="none" w:sz="0" w:space="0" w:color="auto"/>
      </w:divBdr>
    </w:div>
    <w:div w:id="2014068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77</TotalTime>
  <Pages>4</Pages>
  <Words>1247</Words>
  <Characters>7108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Marwan Mohammed</dc:creator>
  <cp:keywords/>
  <dc:description/>
  <cp:lastModifiedBy>Marwan Mohammed</cp:lastModifiedBy>
  <cp:revision>3</cp:revision>
  <dcterms:created xsi:type="dcterms:W3CDTF">2025-07-22T23:51:00Z</dcterms:created>
  <dcterms:modified xsi:type="dcterms:W3CDTF">2025-08-08T00:43:00Z</dcterms:modified>
</cp:coreProperties>
</file>