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B0C1A0" w14:textId="77777777" w:rsidR="00C843BB" w:rsidRPr="000D5DE4" w:rsidRDefault="00C843BB" w:rsidP="00C843BB">
      <w:pPr>
        <w:jc w:val="center"/>
        <w:rPr>
          <w:rFonts w:ascii="Calibri" w:hAnsi="Calibri" w:cs="Calibri"/>
          <w:b/>
          <w:bCs/>
          <w:sz w:val="22"/>
          <w:szCs w:val="22"/>
        </w:rPr>
      </w:pPr>
      <w:r w:rsidRPr="00846BD5">
        <w:rPr>
          <w:rFonts w:ascii="Calibri" w:hAnsi="Calibri" w:cs="Calibri"/>
          <w:b/>
          <w:bCs/>
          <w:sz w:val="22"/>
          <w:szCs w:val="22"/>
        </w:rPr>
        <w:t>Research Protocol: Escape to Learn — Exploring Non-linear Puzzle-Based Learning in Computing Education</w:t>
      </w:r>
    </w:p>
    <w:p w14:paraId="2900F157" w14:textId="77777777" w:rsidR="00C843BB" w:rsidRPr="000D5DE4" w:rsidRDefault="00C843BB" w:rsidP="00C843BB">
      <w:pPr>
        <w:pStyle w:val="ListParagraph"/>
        <w:numPr>
          <w:ilvl w:val="0"/>
          <w:numId w:val="1"/>
        </w:numPr>
        <w:spacing w:before="240" w:after="240"/>
        <w:ind w:left="357" w:hanging="357"/>
        <w:rPr>
          <w:rFonts w:ascii="Calibri" w:hAnsi="Calibri" w:cs="Calibri"/>
          <w:b/>
          <w:bCs/>
          <w:sz w:val="22"/>
          <w:szCs w:val="22"/>
        </w:rPr>
      </w:pPr>
      <w:r w:rsidRPr="000D5DE4">
        <w:rPr>
          <w:rFonts w:ascii="Calibri" w:hAnsi="Calibri" w:cs="Calibri"/>
          <w:b/>
          <w:bCs/>
          <w:sz w:val="22"/>
          <w:szCs w:val="22"/>
        </w:rPr>
        <w:t>Introduction and Background</w:t>
      </w:r>
    </w:p>
    <w:p w14:paraId="243764C2" w14:textId="77777777" w:rsidR="00C843BB" w:rsidRPr="000D5DE4" w:rsidRDefault="00C843BB" w:rsidP="00C843BB">
      <w:pPr>
        <w:pStyle w:val="ListParagraph"/>
        <w:spacing w:before="240" w:after="240"/>
        <w:ind w:left="357"/>
        <w:rPr>
          <w:rFonts w:ascii="Calibri" w:hAnsi="Calibri" w:cs="Calibri"/>
          <w:b/>
          <w:bCs/>
          <w:sz w:val="22"/>
          <w:szCs w:val="22"/>
        </w:rPr>
      </w:pPr>
    </w:p>
    <w:p w14:paraId="7C212B42" w14:textId="77777777" w:rsidR="00C843BB" w:rsidRPr="000D5DE4" w:rsidRDefault="00C843BB" w:rsidP="00C843BB">
      <w:pPr>
        <w:pStyle w:val="ListParagraph"/>
        <w:numPr>
          <w:ilvl w:val="1"/>
          <w:numId w:val="1"/>
        </w:numPr>
        <w:spacing w:before="240"/>
        <w:ind w:left="720"/>
        <w:rPr>
          <w:rFonts w:ascii="Calibri" w:hAnsi="Calibri" w:cs="Calibri"/>
          <w:b/>
          <w:bCs/>
          <w:sz w:val="22"/>
          <w:szCs w:val="22"/>
        </w:rPr>
      </w:pPr>
      <w:r w:rsidRPr="000D5DE4">
        <w:rPr>
          <w:rFonts w:ascii="Calibri" w:hAnsi="Calibri" w:cs="Calibri"/>
          <w:b/>
          <w:bCs/>
          <w:sz w:val="22"/>
          <w:szCs w:val="22"/>
        </w:rPr>
        <w:t>Rationale</w:t>
      </w:r>
    </w:p>
    <w:p w14:paraId="1F857971" w14:textId="77777777" w:rsidR="00C843BB" w:rsidRPr="00846BD5" w:rsidRDefault="00C843BB" w:rsidP="00C843BB">
      <w:pPr>
        <w:jc w:val="both"/>
        <w:rPr>
          <w:rFonts w:ascii="Calibri" w:hAnsi="Calibri" w:cs="Calibri"/>
          <w:sz w:val="22"/>
          <w:szCs w:val="22"/>
        </w:rPr>
      </w:pPr>
      <w:r w:rsidRPr="00846BD5">
        <w:rPr>
          <w:rFonts w:ascii="Calibri" w:hAnsi="Calibri" w:cs="Calibri"/>
          <w:sz w:val="22"/>
          <w:szCs w:val="22"/>
        </w:rPr>
        <w:t>Student engagement and deep conceptual understanding remain challenging in technically demanding subjects like Artificial Intelligence (AI) and Machine Learning (ML). Traditional teaching methods often fail to maintain interest or connect theory to practice effectively. Inspired by escape room pedagogy, this project explores non-linear, puzzle-based learning as a playful and immersive approach to enhance engagement and learning outcomes. There is a gap in scalable, flexible, and subject-specific implementations of such pedagogies, especially integrating gamification alongside traditional methods. This study aims to fill that gap by developing and evaluating unified learning resources embedded with puzzle-based activities across AI/ML curricula.</w:t>
      </w:r>
    </w:p>
    <w:p w14:paraId="39AF3E8B" w14:textId="77777777" w:rsidR="001A2B8A" w:rsidRPr="00846BD5" w:rsidRDefault="001A2B8A" w:rsidP="001A2B8A">
      <w:pPr>
        <w:pStyle w:val="ListParagraph"/>
        <w:numPr>
          <w:ilvl w:val="1"/>
          <w:numId w:val="1"/>
        </w:numPr>
        <w:spacing w:before="240"/>
        <w:ind w:left="720"/>
        <w:rPr>
          <w:rFonts w:ascii="Calibri" w:hAnsi="Calibri" w:cs="Calibri"/>
          <w:b/>
          <w:bCs/>
          <w:sz w:val="22"/>
          <w:szCs w:val="22"/>
        </w:rPr>
      </w:pPr>
      <w:r w:rsidRPr="00846BD5">
        <w:rPr>
          <w:rFonts w:ascii="Calibri" w:hAnsi="Calibri" w:cs="Calibri"/>
          <w:b/>
          <w:bCs/>
          <w:sz w:val="22"/>
          <w:szCs w:val="22"/>
        </w:rPr>
        <w:t>Research Questions</w:t>
      </w:r>
    </w:p>
    <w:p w14:paraId="12FF3949" w14:textId="77777777" w:rsidR="001A2B8A" w:rsidRPr="00846BD5" w:rsidRDefault="001A2B8A" w:rsidP="001A2B8A">
      <w:pPr>
        <w:numPr>
          <w:ilvl w:val="0"/>
          <w:numId w:val="2"/>
        </w:numPr>
        <w:spacing w:after="120" w:line="240" w:lineRule="atLeast"/>
        <w:ind w:left="357" w:hanging="357"/>
        <w:jc w:val="both"/>
        <w:rPr>
          <w:rFonts w:ascii="Calibri" w:hAnsi="Calibri" w:cs="Calibri"/>
          <w:sz w:val="22"/>
          <w:szCs w:val="22"/>
        </w:rPr>
      </w:pPr>
      <w:r w:rsidRPr="00846BD5">
        <w:rPr>
          <w:rFonts w:ascii="Calibri" w:hAnsi="Calibri" w:cs="Calibri"/>
          <w:sz w:val="22"/>
          <w:szCs w:val="22"/>
        </w:rPr>
        <w:t>RQ1: How does the integration of non-linear, puzzle-based activities in AI/ML</w:t>
      </w:r>
      <w:r w:rsidRPr="000D5DE4">
        <w:rPr>
          <w:rFonts w:ascii="Calibri" w:hAnsi="Calibri" w:cs="Calibri"/>
          <w:sz w:val="22"/>
          <w:szCs w:val="22"/>
        </w:rPr>
        <w:t xml:space="preserve"> </w:t>
      </w:r>
      <w:r w:rsidRPr="00846BD5">
        <w:rPr>
          <w:rFonts w:ascii="Calibri" w:hAnsi="Calibri" w:cs="Calibri"/>
          <w:sz w:val="22"/>
          <w:szCs w:val="22"/>
        </w:rPr>
        <w:t>education affect student engagement?</w:t>
      </w:r>
    </w:p>
    <w:p w14:paraId="64455060" w14:textId="77777777" w:rsidR="001A2B8A" w:rsidRPr="00846BD5" w:rsidRDefault="001A2B8A" w:rsidP="001A2B8A">
      <w:pPr>
        <w:numPr>
          <w:ilvl w:val="0"/>
          <w:numId w:val="2"/>
        </w:numPr>
        <w:spacing w:after="120" w:line="240" w:lineRule="atLeast"/>
        <w:ind w:left="357" w:hanging="357"/>
        <w:jc w:val="both"/>
        <w:rPr>
          <w:rFonts w:ascii="Calibri" w:hAnsi="Calibri" w:cs="Calibri"/>
          <w:sz w:val="22"/>
          <w:szCs w:val="22"/>
        </w:rPr>
      </w:pPr>
      <w:r w:rsidRPr="00846BD5">
        <w:rPr>
          <w:rFonts w:ascii="Calibri" w:hAnsi="Calibri" w:cs="Calibri"/>
          <w:sz w:val="22"/>
          <w:szCs w:val="22"/>
        </w:rPr>
        <w:t>RQ2: Does participation in these activities improve students’ conceptual understanding of AI/ML topics?</w:t>
      </w:r>
    </w:p>
    <w:p w14:paraId="14B7742E" w14:textId="6B911EB1" w:rsidR="00B4374E" w:rsidRDefault="001A2B8A" w:rsidP="00B4374E">
      <w:pPr>
        <w:numPr>
          <w:ilvl w:val="0"/>
          <w:numId w:val="2"/>
        </w:numPr>
        <w:spacing w:after="120" w:line="240" w:lineRule="atLeast"/>
        <w:ind w:left="357" w:hanging="357"/>
        <w:jc w:val="both"/>
        <w:rPr>
          <w:rFonts w:ascii="Calibri" w:hAnsi="Calibri" w:cs="Calibri"/>
          <w:sz w:val="22"/>
          <w:szCs w:val="22"/>
        </w:rPr>
      </w:pPr>
      <w:r w:rsidRPr="00846BD5">
        <w:rPr>
          <w:rFonts w:ascii="Calibri" w:hAnsi="Calibri" w:cs="Calibri"/>
          <w:sz w:val="22"/>
          <w:szCs w:val="22"/>
        </w:rPr>
        <w:t>RQ3: What barriers and facilitators do educators encounter when implementing this pedagogy, and how do institutional contexts influence delivery?</w:t>
      </w:r>
    </w:p>
    <w:p w14:paraId="50A180BF" w14:textId="77777777" w:rsidR="00B4374E" w:rsidRDefault="00B4374E" w:rsidP="00B4374E">
      <w:pPr>
        <w:spacing w:after="120" w:line="240" w:lineRule="atLeast"/>
        <w:jc w:val="both"/>
        <w:rPr>
          <w:rFonts w:ascii="Calibri" w:hAnsi="Calibri" w:cs="Calibri"/>
          <w:sz w:val="22"/>
          <w:szCs w:val="22"/>
        </w:rPr>
      </w:pPr>
    </w:p>
    <w:p w14:paraId="7F33BEC3" w14:textId="0FCC4934" w:rsidR="00B4374E" w:rsidRPr="00B4374E" w:rsidRDefault="00B4374E" w:rsidP="00B4374E">
      <w:pPr>
        <w:pStyle w:val="ListParagraph"/>
        <w:numPr>
          <w:ilvl w:val="0"/>
          <w:numId w:val="1"/>
        </w:numPr>
        <w:spacing w:before="240" w:after="240"/>
        <w:ind w:left="357" w:hanging="357"/>
        <w:rPr>
          <w:rFonts w:ascii="Calibri" w:hAnsi="Calibri" w:cs="Calibri"/>
          <w:b/>
          <w:bCs/>
          <w:sz w:val="22"/>
          <w:szCs w:val="22"/>
        </w:rPr>
      </w:pPr>
      <w:r w:rsidRPr="00B4374E">
        <w:rPr>
          <w:rFonts w:ascii="Calibri" w:hAnsi="Calibri" w:cs="Calibri"/>
          <w:b/>
          <w:bCs/>
          <w:sz w:val="22"/>
          <w:szCs w:val="22"/>
        </w:rPr>
        <w:t>Workshop and project activity timeline draft</w:t>
      </w:r>
    </w:p>
    <w:tbl>
      <w:tblPr>
        <w:tblStyle w:val="TableGrid"/>
        <w:tblW w:w="0" w:type="auto"/>
        <w:tblLook w:val="04A0" w:firstRow="1" w:lastRow="0" w:firstColumn="1" w:lastColumn="0" w:noHBand="0" w:noVBand="1"/>
      </w:tblPr>
      <w:tblGrid>
        <w:gridCol w:w="1001"/>
        <w:gridCol w:w="2106"/>
        <w:gridCol w:w="3631"/>
        <w:gridCol w:w="3004"/>
      </w:tblGrid>
      <w:tr w:rsidR="00DA3E64" w:rsidRPr="00DA3E64" w14:paraId="781C6B59" w14:textId="77777777" w:rsidTr="00744692">
        <w:tc>
          <w:tcPr>
            <w:tcW w:w="0" w:type="auto"/>
            <w:hideMark/>
          </w:tcPr>
          <w:p w14:paraId="6FE07331" w14:textId="77777777" w:rsidR="00DA3E64" w:rsidRPr="00DA3E64" w:rsidRDefault="00DA3E64" w:rsidP="00744692">
            <w:pPr>
              <w:spacing w:after="160" w:line="278" w:lineRule="auto"/>
              <w:rPr>
                <w:b/>
                <w:bCs/>
                <w:color w:val="000000" w:themeColor="text1"/>
                <w:sz w:val="20"/>
                <w:szCs w:val="20"/>
              </w:rPr>
            </w:pPr>
            <w:r w:rsidRPr="00DA3E64">
              <w:rPr>
                <w:b/>
                <w:bCs/>
                <w:color w:val="000000" w:themeColor="text1"/>
                <w:sz w:val="20"/>
                <w:szCs w:val="20"/>
              </w:rPr>
              <w:t>Timeline</w:t>
            </w:r>
          </w:p>
        </w:tc>
        <w:tc>
          <w:tcPr>
            <w:tcW w:w="2771" w:type="dxa"/>
            <w:hideMark/>
          </w:tcPr>
          <w:p w14:paraId="10B0200E" w14:textId="77777777" w:rsidR="00DA3E64" w:rsidRPr="00DA3E64" w:rsidRDefault="00DA3E64" w:rsidP="00744692">
            <w:pPr>
              <w:spacing w:after="160" w:line="278" w:lineRule="auto"/>
              <w:rPr>
                <w:b/>
                <w:bCs/>
                <w:color w:val="000000" w:themeColor="text1"/>
                <w:sz w:val="20"/>
                <w:szCs w:val="20"/>
              </w:rPr>
            </w:pPr>
            <w:r w:rsidRPr="00DA3E64">
              <w:rPr>
                <w:b/>
                <w:bCs/>
                <w:color w:val="000000" w:themeColor="text1"/>
                <w:sz w:val="20"/>
                <w:szCs w:val="20"/>
              </w:rPr>
              <w:t>event / actor</w:t>
            </w:r>
          </w:p>
        </w:tc>
        <w:tc>
          <w:tcPr>
            <w:tcW w:w="5670" w:type="dxa"/>
            <w:hideMark/>
          </w:tcPr>
          <w:p w14:paraId="4FCA794D" w14:textId="77777777" w:rsidR="00DA3E64" w:rsidRPr="00DA3E64" w:rsidRDefault="00DA3E64" w:rsidP="00744692">
            <w:pPr>
              <w:spacing w:after="160" w:line="278" w:lineRule="auto"/>
              <w:rPr>
                <w:b/>
                <w:bCs/>
                <w:color w:val="000000" w:themeColor="text1"/>
                <w:sz w:val="20"/>
                <w:szCs w:val="20"/>
              </w:rPr>
            </w:pPr>
            <w:r w:rsidRPr="00DA3E64">
              <w:rPr>
                <w:b/>
                <w:bCs/>
                <w:color w:val="000000" w:themeColor="text1"/>
                <w:sz w:val="20"/>
                <w:szCs w:val="20"/>
              </w:rPr>
              <w:t>activity</w:t>
            </w:r>
          </w:p>
        </w:tc>
        <w:tc>
          <w:tcPr>
            <w:tcW w:w="4314" w:type="dxa"/>
            <w:hideMark/>
          </w:tcPr>
          <w:p w14:paraId="259C4C00" w14:textId="77777777" w:rsidR="00DA3E64" w:rsidRPr="00DA3E64" w:rsidRDefault="00DA3E64" w:rsidP="00744692">
            <w:pPr>
              <w:spacing w:after="160" w:line="278" w:lineRule="auto"/>
              <w:rPr>
                <w:b/>
                <w:bCs/>
                <w:color w:val="000000" w:themeColor="text1"/>
                <w:sz w:val="20"/>
                <w:szCs w:val="20"/>
              </w:rPr>
            </w:pPr>
            <w:r w:rsidRPr="00DA3E64">
              <w:rPr>
                <w:b/>
                <w:bCs/>
                <w:color w:val="000000" w:themeColor="text1"/>
                <w:sz w:val="20"/>
                <w:szCs w:val="20"/>
              </w:rPr>
              <w:t>outcome</w:t>
            </w:r>
          </w:p>
        </w:tc>
      </w:tr>
      <w:tr w:rsidR="00DA3E64" w:rsidRPr="00DA3E64" w14:paraId="636F5F38" w14:textId="77777777" w:rsidTr="00744692">
        <w:trPr>
          <w:trHeight w:val="899"/>
        </w:trPr>
        <w:tc>
          <w:tcPr>
            <w:tcW w:w="0" w:type="auto"/>
            <w:vMerge w:val="restart"/>
            <w:shd w:val="clear" w:color="auto" w:fill="D1D1D1" w:themeFill="background2" w:themeFillShade="E6"/>
            <w:hideMark/>
          </w:tcPr>
          <w:p w14:paraId="754F1CE1" w14:textId="77777777" w:rsidR="00DA3E64" w:rsidRPr="00DA3E64" w:rsidRDefault="00DA3E64" w:rsidP="00744692">
            <w:pPr>
              <w:spacing w:after="160" w:line="278" w:lineRule="auto"/>
              <w:rPr>
                <w:b/>
                <w:bCs/>
                <w:color w:val="000000" w:themeColor="text1"/>
                <w:sz w:val="20"/>
                <w:szCs w:val="20"/>
              </w:rPr>
            </w:pPr>
            <w:r w:rsidRPr="00DA3E64">
              <w:rPr>
                <w:b/>
                <w:bCs/>
                <w:color w:val="000000" w:themeColor="text1"/>
                <w:sz w:val="20"/>
                <w:szCs w:val="20"/>
              </w:rPr>
              <w:t>4th Sept 2025</w:t>
            </w:r>
          </w:p>
          <w:p w14:paraId="7713E523" w14:textId="77777777" w:rsidR="00DA3E64" w:rsidRPr="00DA3E64" w:rsidRDefault="00DA3E64" w:rsidP="00744692">
            <w:pPr>
              <w:spacing w:after="160" w:line="278" w:lineRule="auto"/>
              <w:rPr>
                <w:color w:val="000000" w:themeColor="text1"/>
                <w:sz w:val="20"/>
                <w:szCs w:val="20"/>
              </w:rPr>
            </w:pPr>
          </w:p>
        </w:tc>
        <w:tc>
          <w:tcPr>
            <w:tcW w:w="2771" w:type="dxa"/>
            <w:shd w:val="clear" w:color="auto" w:fill="D1D1D1" w:themeFill="background2" w:themeFillShade="E6"/>
            <w:hideMark/>
          </w:tcPr>
          <w:p w14:paraId="514A643A" w14:textId="77777777" w:rsidR="00DA3E64" w:rsidRPr="00DA3E64" w:rsidRDefault="00DA3E64" w:rsidP="00744692">
            <w:pPr>
              <w:spacing w:after="160" w:line="278" w:lineRule="auto"/>
              <w:rPr>
                <w:b/>
                <w:bCs/>
                <w:color w:val="000000" w:themeColor="text1"/>
                <w:sz w:val="20"/>
                <w:szCs w:val="20"/>
              </w:rPr>
            </w:pPr>
            <w:r w:rsidRPr="00DA3E64">
              <w:rPr>
                <w:b/>
                <w:bCs/>
                <w:color w:val="000000" w:themeColor="text1"/>
                <w:sz w:val="20"/>
                <w:szCs w:val="20"/>
              </w:rPr>
              <w:t>start-up workshop (in-person)</w:t>
            </w:r>
          </w:p>
          <w:p w14:paraId="2DF3F04B" w14:textId="77777777" w:rsidR="00DA3E64" w:rsidRPr="00DA3E64" w:rsidRDefault="00DA3E64" w:rsidP="00744692">
            <w:pPr>
              <w:spacing w:line="278" w:lineRule="auto"/>
              <w:rPr>
                <w:color w:val="000000" w:themeColor="text1"/>
                <w:sz w:val="20"/>
                <w:szCs w:val="20"/>
              </w:rPr>
            </w:pPr>
            <w:r w:rsidRPr="00DA3E64">
              <w:rPr>
                <w:color w:val="000000" w:themeColor="text1"/>
                <w:sz w:val="20"/>
                <w:szCs w:val="20"/>
              </w:rPr>
              <w:t xml:space="preserve">project leads </w:t>
            </w:r>
          </w:p>
          <w:p w14:paraId="02564451" w14:textId="77777777" w:rsidR="00DA3E64" w:rsidRPr="00DA3E64" w:rsidRDefault="00DA3E64" w:rsidP="00744692">
            <w:pPr>
              <w:spacing w:after="160" w:line="278" w:lineRule="auto"/>
              <w:rPr>
                <w:color w:val="000000" w:themeColor="text1"/>
                <w:sz w:val="20"/>
                <w:szCs w:val="20"/>
              </w:rPr>
            </w:pPr>
          </w:p>
        </w:tc>
        <w:tc>
          <w:tcPr>
            <w:tcW w:w="5670" w:type="dxa"/>
            <w:vMerge w:val="restart"/>
            <w:shd w:val="clear" w:color="auto" w:fill="D1D1D1" w:themeFill="background2" w:themeFillShade="E6"/>
            <w:hideMark/>
          </w:tcPr>
          <w:p w14:paraId="42878D73"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 xml:space="preserve">present {rationale and aims, pedagogic theory, examples, </w:t>
            </w:r>
            <w:proofErr w:type="spellStart"/>
            <w:r w:rsidRPr="00DA3E64">
              <w:rPr>
                <w:color w:val="000000" w:themeColor="text1"/>
                <w:sz w:val="20"/>
                <w:szCs w:val="20"/>
              </w:rPr>
              <w:t>RiPPA</w:t>
            </w:r>
            <w:proofErr w:type="spellEnd"/>
            <w:r w:rsidRPr="00DA3E64">
              <w:rPr>
                <w:color w:val="000000" w:themeColor="text1"/>
                <w:sz w:val="20"/>
                <w:szCs w:val="20"/>
              </w:rPr>
              <w:t xml:space="preserve"> plan}</w:t>
            </w:r>
          </w:p>
          <w:p w14:paraId="654A4D31"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 xml:space="preserve">brainstorm potential interventions: study design, ethical considerations, target concepts, student levels, solo vs group, formats (e.g. formative, summative, in-class) etc. </w:t>
            </w:r>
          </w:p>
          <w:p w14:paraId="6E804E87" w14:textId="77777777" w:rsidR="00DA3E64" w:rsidRPr="00DA3E64" w:rsidRDefault="00DA3E64" w:rsidP="00744692">
            <w:pPr>
              <w:spacing w:after="160" w:line="278" w:lineRule="auto"/>
              <w:rPr>
                <w:color w:val="000000" w:themeColor="text1"/>
                <w:sz w:val="20"/>
                <w:szCs w:val="20"/>
              </w:rPr>
            </w:pPr>
          </w:p>
        </w:tc>
        <w:tc>
          <w:tcPr>
            <w:tcW w:w="4314" w:type="dxa"/>
            <w:vMerge w:val="restart"/>
            <w:shd w:val="clear" w:color="auto" w:fill="D1D1D1" w:themeFill="background2" w:themeFillShade="E6"/>
            <w:hideMark/>
          </w:tcPr>
          <w:p w14:paraId="4B51894D"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awareness of project scope</w:t>
            </w:r>
          </w:p>
          <w:p w14:paraId="120D3D58"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initial ideas for interventions</w:t>
            </w:r>
          </w:p>
          <w:p w14:paraId="20F721CD"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ethical framework (rough)</w:t>
            </w:r>
          </w:p>
          <w:p w14:paraId="43D87E3A"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sign-ups</w:t>
            </w:r>
          </w:p>
        </w:tc>
      </w:tr>
      <w:tr w:rsidR="00DA3E64" w:rsidRPr="00DA3E64" w14:paraId="5CF79C93" w14:textId="77777777" w:rsidTr="00744692">
        <w:trPr>
          <w:trHeight w:val="898"/>
        </w:trPr>
        <w:tc>
          <w:tcPr>
            <w:tcW w:w="0" w:type="auto"/>
            <w:vMerge/>
          </w:tcPr>
          <w:p w14:paraId="42A4D39E" w14:textId="77777777" w:rsidR="00DA3E64" w:rsidRPr="00DA3E64" w:rsidRDefault="00DA3E64" w:rsidP="00744692">
            <w:pPr>
              <w:spacing w:line="278" w:lineRule="auto"/>
              <w:rPr>
                <w:b/>
                <w:bCs/>
                <w:color w:val="EE0000"/>
                <w:sz w:val="20"/>
                <w:szCs w:val="20"/>
              </w:rPr>
            </w:pPr>
          </w:p>
        </w:tc>
        <w:tc>
          <w:tcPr>
            <w:tcW w:w="2771" w:type="dxa"/>
            <w:shd w:val="clear" w:color="auto" w:fill="D1D1D1" w:themeFill="background2" w:themeFillShade="E6"/>
          </w:tcPr>
          <w:p w14:paraId="485719EF"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participants</w:t>
            </w:r>
          </w:p>
          <w:p w14:paraId="508AAEE1" w14:textId="77777777" w:rsidR="00DA3E64" w:rsidRPr="00DA3E64" w:rsidRDefault="00DA3E64" w:rsidP="00744692">
            <w:pPr>
              <w:spacing w:line="278" w:lineRule="auto"/>
              <w:rPr>
                <w:b/>
                <w:bCs/>
                <w:color w:val="000000" w:themeColor="text1"/>
                <w:sz w:val="20"/>
                <w:szCs w:val="20"/>
              </w:rPr>
            </w:pPr>
            <w:r w:rsidRPr="00DA3E64">
              <w:rPr>
                <w:color w:val="000000" w:themeColor="text1"/>
                <w:sz w:val="20"/>
                <w:szCs w:val="20"/>
              </w:rPr>
              <w:t>(1.15 hrs)</w:t>
            </w:r>
          </w:p>
        </w:tc>
        <w:tc>
          <w:tcPr>
            <w:tcW w:w="5670" w:type="dxa"/>
            <w:vMerge/>
          </w:tcPr>
          <w:p w14:paraId="7363CB65" w14:textId="77777777" w:rsidR="00DA3E64" w:rsidRPr="00DA3E64" w:rsidRDefault="00DA3E64" w:rsidP="00744692">
            <w:pPr>
              <w:spacing w:line="278" w:lineRule="auto"/>
              <w:rPr>
                <w:color w:val="EE0000"/>
                <w:sz w:val="20"/>
                <w:szCs w:val="20"/>
              </w:rPr>
            </w:pPr>
          </w:p>
        </w:tc>
        <w:tc>
          <w:tcPr>
            <w:tcW w:w="4314" w:type="dxa"/>
            <w:vMerge/>
          </w:tcPr>
          <w:p w14:paraId="567EE3D7" w14:textId="77777777" w:rsidR="00DA3E64" w:rsidRPr="00DA3E64" w:rsidRDefault="00DA3E64" w:rsidP="00744692">
            <w:pPr>
              <w:spacing w:line="278" w:lineRule="auto"/>
              <w:rPr>
                <w:color w:val="EE0000"/>
                <w:sz w:val="20"/>
                <w:szCs w:val="20"/>
              </w:rPr>
            </w:pPr>
          </w:p>
        </w:tc>
      </w:tr>
      <w:tr w:rsidR="00DA3E64" w:rsidRPr="00DA3E64" w14:paraId="39252766" w14:textId="77777777" w:rsidTr="00744692">
        <w:tc>
          <w:tcPr>
            <w:tcW w:w="0" w:type="auto"/>
            <w:vMerge w:val="restart"/>
            <w:hideMark/>
          </w:tcPr>
          <w:p w14:paraId="223E9BB4" w14:textId="77777777" w:rsidR="00DA3E64" w:rsidRPr="00DA3E64" w:rsidRDefault="00DA3E64" w:rsidP="00744692">
            <w:pPr>
              <w:spacing w:after="160" w:line="278" w:lineRule="auto"/>
              <w:rPr>
                <w:b/>
                <w:bCs/>
                <w:color w:val="000000" w:themeColor="text1"/>
                <w:sz w:val="20"/>
                <w:szCs w:val="20"/>
              </w:rPr>
            </w:pPr>
            <w:r w:rsidRPr="00DA3E64">
              <w:rPr>
                <w:b/>
                <w:bCs/>
                <w:color w:val="000000" w:themeColor="text1"/>
                <w:sz w:val="20"/>
                <w:szCs w:val="20"/>
              </w:rPr>
              <w:t>Sep 2025</w:t>
            </w:r>
          </w:p>
        </w:tc>
        <w:tc>
          <w:tcPr>
            <w:tcW w:w="2771" w:type="dxa"/>
            <w:hideMark/>
          </w:tcPr>
          <w:p w14:paraId="56E81C3C" w14:textId="77777777" w:rsidR="00DA3E64" w:rsidRPr="00DA3E64" w:rsidRDefault="00DA3E64" w:rsidP="00744692">
            <w:pPr>
              <w:spacing w:after="160" w:line="278" w:lineRule="auto"/>
              <w:rPr>
                <w:b/>
                <w:bCs/>
                <w:color w:val="000000" w:themeColor="text1"/>
                <w:sz w:val="20"/>
                <w:szCs w:val="20"/>
              </w:rPr>
            </w:pPr>
            <w:r w:rsidRPr="00DA3E64">
              <w:rPr>
                <w:b/>
                <w:bCs/>
                <w:color w:val="000000" w:themeColor="text1"/>
                <w:sz w:val="20"/>
                <w:szCs w:val="20"/>
              </w:rPr>
              <w:t>follow-up (remote)</w:t>
            </w:r>
          </w:p>
          <w:p w14:paraId="21900D74" w14:textId="77777777" w:rsidR="00DA3E64" w:rsidRPr="00DA3E64" w:rsidRDefault="00DA3E64" w:rsidP="00744692">
            <w:pPr>
              <w:spacing w:after="160" w:line="278" w:lineRule="auto"/>
              <w:rPr>
                <w:color w:val="000000" w:themeColor="text1"/>
                <w:sz w:val="20"/>
                <w:szCs w:val="20"/>
              </w:rPr>
            </w:pPr>
            <w:r w:rsidRPr="00DA3E64">
              <w:rPr>
                <w:b/>
                <w:bCs/>
                <w:color w:val="000000" w:themeColor="text1"/>
                <w:sz w:val="20"/>
                <w:szCs w:val="20"/>
              </w:rPr>
              <w:t>project leads</w:t>
            </w:r>
          </w:p>
        </w:tc>
        <w:tc>
          <w:tcPr>
            <w:tcW w:w="5670" w:type="dxa"/>
            <w:hideMark/>
          </w:tcPr>
          <w:p w14:paraId="2E60E4F2"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share collaborative repository</w:t>
            </w:r>
          </w:p>
          <w:p w14:paraId="563BEE88"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host example resources and literature</w:t>
            </w:r>
          </w:p>
          <w:p w14:paraId="543AB058"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invite remote collaboration on survey instruments and educator reflection templates</w:t>
            </w:r>
          </w:p>
        </w:tc>
        <w:tc>
          <w:tcPr>
            <w:tcW w:w="4314" w:type="dxa"/>
            <w:hideMark/>
          </w:tcPr>
          <w:p w14:paraId="6A8C111C"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shared access to tools and ideas</w:t>
            </w:r>
          </w:p>
          <w:p w14:paraId="1A7943A7"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support flexible, context-sensitive adaptations</w:t>
            </w:r>
          </w:p>
        </w:tc>
      </w:tr>
      <w:tr w:rsidR="00DA3E64" w:rsidRPr="00DA3E64" w14:paraId="080D9F7A" w14:textId="77777777" w:rsidTr="00744692">
        <w:tc>
          <w:tcPr>
            <w:tcW w:w="0" w:type="auto"/>
            <w:vMerge/>
            <w:hideMark/>
          </w:tcPr>
          <w:p w14:paraId="616543B4" w14:textId="77777777" w:rsidR="00DA3E64" w:rsidRPr="00DA3E64" w:rsidRDefault="00DA3E64" w:rsidP="00744692">
            <w:pPr>
              <w:spacing w:after="160" w:line="278" w:lineRule="auto"/>
              <w:rPr>
                <w:color w:val="EE0000"/>
                <w:sz w:val="20"/>
                <w:szCs w:val="20"/>
              </w:rPr>
            </w:pPr>
          </w:p>
        </w:tc>
        <w:tc>
          <w:tcPr>
            <w:tcW w:w="2771" w:type="dxa"/>
            <w:hideMark/>
          </w:tcPr>
          <w:p w14:paraId="04E32D75" w14:textId="77777777" w:rsidR="00DA3E64" w:rsidRPr="00DA3E64" w:rsidRDefault="00DA3E64" w:rsidP="00744692">
            <w:pPr>
              <w:spacing w:after="160" w:line="278" w:lineRule="auto"/>
              <w:rPr>
                <w:color w:val="000000" w:themeColor="text1"/>
                <w:sz w:val="20"/>
                <w:szCs w:val="20"/>
              </w:rPr>
            </w:pPr>
            <w:r w:rsidRPr="00DA3E64">
              <w:rPr>
                <w:b/>
                <w:bCs/>
                <w:color w:val="000000" w:themeColor="text1"/>
                <w:sz w:val="20"/>
                <w:szCs w:val="20"/>
              </w:rPr>
              <w:t>project leads + participants</w:t>
            </w:r>
          </w:p>
        </w:tc>
        <w:tc>
          <w:tcPr>
            <w:tcW w:w="5670" w:type="dxa"/>
            <w:hideMark/>
          </w:tcPr>
          <w:p w14:paraId="1A53858C"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begin planning and designing their own puzzle-based activity</w:t>
            </w:r>
          </w:p>
        </w:tc>
        <w:tc>
          <w:tcPr>
            <w:tcW w:w="4314" w:type="dxa"/>
            <w:hideMark/>
          </w:tcPr>
          <w:p w14:paraId="11370D80"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early-stage activity plans tailored to local context</w:t>
            </w:r>
          </w:p>
        </w:tc>
      </w:tr>
      <w:tr w:rsidR="00DA3E64" w:rsidRPr="00DA3E64" w14:paraId="74053684" w14:textId="77777777" w:rsidTr="00744692">
        <w:tc>
          <w:tcPr>
            <w:tcW w:w="0" w:type="auto"/>
            <w:vMerge w:val="restart"/>
            <w:shd w:val="clear" w:color="auto" w:fill="D1D1D1" w:themeFill="background2" w:themeFillShade="E6"/>
            <w:hideMark/>
          </w:tcPr>
          <w:p w14:paraId="0DABB2BC" w14:textId="77777777" w:rsidR="00DA3E64" w:rsidRPr="00DA3E64" w:rsidRDefault="00DA3E64" w:rsidP="00744692">
            <w:pPr>
              <w:spacing w:after="160" w:line="278" w:lineRule="auto"/>
              <w:rPr>
                <w:color w:val="000000" w:themeColor="text1"/>
                <w:sz w:val="20"/>
                <w:szCs w:val="20"/>
              </w:rPr>
            </w:pPr>
            <w:r w:rsidRPr="00DA3E64">
              <w:rPr>
                <w:b/>
                <w:bCs/>
                <w:color w:val="000000" w:themeColor="text1"/>
                <w:sz w:val="20"/>
                <w:szCs w:val="20"/>
              </w:rPr>
              <w:t>early Oct 2025</w:t>
            </w:r>
          </w:p>
        </w:tc>
        <w:tc>
          <w:tcPr>
            <w:tcW w:w="2771" w:type="dxa"/>
            <w:shd w:val="clear" w:color="auto" w:fill="D1D1D1" w:themeFill="background2" w:themeFillShade="E6"/>
            <w:hideMark/>
          </w:tcPr>
          <w:p w14:paraId="0EF49E9B" w14:textId="77777777" w:rsidR="00DA3E64" w:rsidRPr="00DA3E64" w:rsidRDefault="00DA3E64" w:rsidP="00744692">
            <w:pPr>
              <w:spacing w:after="160" w:line="278" w:lineRule="auto"/>
              <w:rPr>
                <w:b/>
                <w:bCs/>
                <w:color w:val="000000" w:themeColor="text1"/>
                <w:sz w:val="20"/>
                <w:szCs w:val="20"/>
              </w:rPr>
            </w:pPr>
            <w:r w:rsidRPr="00DA3E64">
              <w:rPr>
                <w:b/>
                <w:bCs/>
                <w:color w:val="000000" w:themeColor="text1"/>
                <w:sz w:val="20"/>
                <w:szCs w:val="20"/>
              </w:rPr>
              <w:t>online group meeting 1</w:t>
            </w:r>
          </w:p>
          <w:p w14:paraId="59755EA6"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(1.5–2 hours)</w:t>
            </w:r>
          </w:p>
        </w:tc>
        <w:tc>
          <w:tcPr>
            <w:tcW w:w="5670" w:type="dxa"/>
            <w:shd w:val="clear" w:color="auto" w:fill="D1D1D1" w:themeFill="background2" w:themeFillShade="E6"/>
            <w:hideMark/>
          </w:tcPr>
          <w:p w14:paraId="06BCE4F1"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peer pilot-testing in breakout rooms</w:t>
            </w:r>
          </w:p>
          <w:p w14:paraId="17A7B4D7"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finalise student questionnaire</w:t>
            </w:r>
          </w:p>
          <w:p w14:paraId="17D153EE"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finalise educator reflection log</w:t>
            </w:r>
          </w:p>
          <w:p w14:paraId="548D914D"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lastRenderedPageBreak/>
              <w:t>ethics status updates</w:t>
            </w:r>
          </w:p>
        </w:tc>
        <w:tc>
          <w:tcPr>
            <w:tcW w:w="4314" w:type="dxa"/>
            <w:shd w:val="clear" w:color="auto" w:fill="D1D1D1" w:themeFill="background2" w:themeFillShade="E6"/>
            <w:hideMark/>
          </w:tcPr>
          <w:p w14:paraId="560C0785"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lastRenderedPageBreak/>
              <w:t>refined teaching activities plans</w:t>
            </w:r>
          </w:p>
          <w:p w14:paraId="26895D46"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co-designed data collection instruments</w:t>
            </w:r>
          </w:p>
          <w:p w14:paraId="7ECC05BE"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lastRenderedPageBreak/>
              <w:t>peer feedback loop</w:t>
            </w:r>
          </w:p>
        </w:tc>
      </w:tr>
      <w:tr w:rsidR="00DA3E64" w:rsidRPr="00DA3E64" w14:paraId="2917D6A8" w14:textId="77777777" w:rsidTr="00744692">
        <w:tc>
          <w:tcPr>
            <w:tcW w:w="0" w:type="auto"/>
            <w:vMerge/>
            <w:shd w:val="clear" w:color="auto" w:fill="D1D1D1" w:themeFill="background2" w:themeFillShade="E6"/>
            <w:hideMark/>
          </w:tcPr>
          <w:p w14:paraId="070966C2" w14:textId="77777777" w:rsidR="00DA3E64" w:rsidRPr="00DA3E64" w:rsidRDefault="00DA3E64" w:rsidP="00744692">
            <w:pPr>
              <w:spacing w:after="160" w:line="278" w:lineRule="auto"/>
              <w:rPr>
                <w:color w:val="000000" w:themeColor="text1"/>
                <w:sz w:val="20"/>
                <w:szCs w:val="20"/>
              </w:rPr>
            </w:pPr>
          </w:p>
        </w:tc>
        <w:tc>
          <w:tcPr>
            <w:tcW w:w="2771" w:type="dxa"/>
            <w:shd w:val="clear" w:color="auto" w:fill="D1D1D1" w:themeFill="background2" w:themeFillShade="E6"/>
            <w:hideMark/>
          </w:tcPr>
          <w:p w14:paraId="0EB7DD3F" w14:textId="77777777" w:rsidR="00DA3E64" w:rsidRPr="00DA3E64" w:rsidRDefault="00DA3E64" w:rsidP="00744692">
            <w:pPr>
              <w:spacing w:after="160" w:line="278" w:lineRule="auto"/>
              <w:rPr>
                <w:color w:val="000000" w:themeColor="text1"/>
                <w:sz w:val="20"/>
                <w:szCs w:val="20"/>
              </w:rPr>
            </w:pPr>
            <w:r w:rsidRPr="00DA3E64">
              <w:rPr>
                <w:b/>
                <w:bCs/>
                <w:color w:val="000000" w:themeColor="text1"/>
                <w:sz w:val="20"/>
                <w:szCs w:val="20"/>
              </w:rPr>
              <w:t>follow-up (project leads)</w:t>
            </w:r>
          </w:p>
        </w:tc>
        <w:tc>
          <w:tcPr>
            <w:tcW w:w="5670" w:type="dxa"/>
            <w:shd w:val="clear" w:color="auto" w:fill="D1D1D1" w:themeFill="background2" w:themeFillShade="E6"/>
            <w:hideMark/>
          </w:tcPr>
          <w:p w14:paraId="3EAF7947"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share finalised survey instruments</w:t>
            </w:r>
          </w:p>
          <w:p w14:paraId="6CCC65E4"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confirm shared data collection procedures</w:t>
            </w:r>
          </w:p>
        </w:tc>
        <w:tc>
          <w:tcPr>
            <w:tcW w:w="4314" w:type="dxa"/>
            <w:shd w:val="clear" w:color="auto" w:fill="D1D1D1" w:themeFill="background2" w:themeFillShade="E6"/>
            <w:hideMark/>
          </w:tcPr>
          <w:p w14:paraId="786DD881"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ready-to-use materials for participants</w:t>
            </w:r>
          </w:p>
        </w:tc>
      </w:tr>
      <w:tr w:rsidR="00DA3E64" w:rsidRPr="00DA3E64" w14:paraId="2E74A73D" w14:textId="77777777" w:rsidTr="00744692">
        <w:tc>
          <w:tcPr>
            <w:tcW w:w="0" w:type="auto"/>
          </w:tcPr>
          <w:p w14:paraId="1292C65F" w14:textId="77777777" w:rsidR="00DA3E64" w:rsidRPr="00DA3E64" w:rsidRDefault="00DA3E64" w:rsidP="00744692">
            <w:pPr>
              <w:spacing w:line="278" w:lineRule="auto"/>
              <w:rPr>
                <w:b/>
                <w:bCs/>
                <w:color w:val="000000" w:themeColor="text1"/>
                <w:sz w:val="20"/>
                <w:szCs w:val="20"/>
              </w:rPr>
            </w:pPr>
            <w:r w:rsidRPr="00DA3E64">
              <w:rPr>
                <w:b/>
                <w:bCs/>
                <w:color w:val="000000" w:themeColor="text1"/>
                <w:sz w:val="20"/>
                <w:szCs w:val="20"/>
              </w:rPr>
              <w:t>Oct 2025</w:t>
            </w:r>
          </w:p>
        </w:tc>
        <w:tc>
          <w:tcPr>
            <w:tcW w:w="2771" w:type="dxa"/>
          </w:tcPr>
          <w:p w14:paraId="23D0EE19" w14:textId="77777777" w:rsidR="00DA3E64" w:rsidRPr="00DA3E64" w:rsidRDefault="00DA3E64" w:rsidP="00744692">
            <w:pPr>
              <w:spacing w:line="278" w:lineRule="auto"/>
              <w:rPr>
                <w:b/>
                <w:bCs/>
                <w:color w:val="000000" w:themeColor="text1"/>
                <w:sz w:val="20"/>
                <w:szCs w:val="20"/>
              </w:rPr>
            </w:pPr>
            <w:r w:rsidRPr="00DA3E64">
              <w:rPr>
                <w:b/>
                <w:bCs/>
                <w:color w:val="000000" w:themeColor="text1"/>
                <w:sz w:val="20"/>
                <w:szCs w:val="20"/>
              </w:rPr>
              <w:t>all participants</w:t>
            </w:r>
          </w:p>
        </w:tc>
        <w:tc>
          <w:tcPr>
            <w:tcW w:w="5670" w:type="dxa"/>
          </w:tcPr>
          <w:p w14:paraId="214B08C7"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design puzzle-based activities</w:t>
            </w:r>
          </w:p>
          <w:p w14:paraId="569C9003"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remote collaboration and support</w:t>
            </w:r>
          </w:p>
          <w:p w14:paraId="4F4D9523"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ethics updates</w:t>
            </w:r>
          </w:p>
        </w:tc>
        <w:tc>
          <w:tcPr>
            <w:tcW w:w="4314" w:type="dxa"/>
          </w:tcPr>
          <w:p w14:paraId="6E5F3595"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almost ready-to-use activities for students</w:t>
            </w:r>
          </w:p>
          <w:p w14:paraId="5597751C" w14:textId="77777777" w:rsidR="00DA3E64" w:rsidRPr="00DA3E64" w:rsidRDefault="00DA3E64" w:rsidP="00744692">
            <w:pPr>
              <w:spacing w:line="278" w:lineRule="auto"/>
              <w:rPr>
                <w:color w:val="000000" w:themeColor="text1"/>
                <w:sz w:val="20"/>
                <w:szCs w:val="20"/>
              </w:rPr>
            </w:pPr>
          </w:p>
        </w:tc>
      </w:tr>
      <w:tr w:rsidR="00DA3E64" w:rsidRPr="00DA3E64" w14:paraId="2E5F288D" w14:textId="77777777" w:rsidTr="00744692">
        <w:tc>
          <w:tcPr>
            <w:tcW w:w="0" w:type="auto"/>
            <w:shd w:val="clear" w:color="auto" w:fill="D1D1D1" w:themeFill="background2" w:themeFillShade="E6"/>
            <w:hideMark/>
          </w:tcPr>
          <w:p w14:paraId="4C40907F" w14:textId="77777777" w:rsidR="00DA3E64" w:rsidRPr="00DA3E64" w:rsidRDefault="00DA3E64" w:rsidP="00744692">
            <w:pPr>
              <w:spacing w:after="160" w:line="278" w:lineRule="auto"/>
              <w:rPr>
                <w:color w:val="000000" w:themeColor="text1"/>
                <w:sz w:val="20"/>
                <w:szCs w:val="20"/>
              </w:rPr>
            </w:pPr>
            <w:r w:rsidRPr="00DA3E64">
              <w:rPr>
                <w:b/>
                <w:bCs/>
                <w:color w:val="000000" w:themeColor="text1"/>
                <w:sz w:val="20"/>
                <w:szCs w:val="20"/>
              </w:rPr>
              <w:t>Early Nov 2025</w:t>
            </w:r>
          </w:p>
        </w:tc>
        <w:tc>
          <w:tcPr>
            <w:tcW w:w="2771" w:type="dxa"/>
            <w:shd w:val="clear" w:color="auto" w:fill="D1D1D1" w:themeFill="background2" w:themeFillShade="E6"/>
            <w:hideMark/>
          </w:tcPr>
          <w:p w14:paraId="63F440F6" w14:textId="77777777" w:rsidR="00DA3E64" w:rsidRPr="00DA3E64" w:rsidRDefault="00DA3E64" w:rsidP="00744692">
            <w:pPr>
              <w:spacing w:after="160" w:line="278" w:lineRule="auto"/>
              <w:rPr>
                <w:b/>
                <w:bCs/>
                <w:color w:val="000000" w:themeColor="text1"/>
                <w:sz w:val="20"/>
                <w:szCs w:val="20"/>
              </w:rPr>
            </w:pPr>
            <w:r w:rsidRPr="00DA3E64">
              <w:rPr>
                <w:b/>
                <w:bCs/>
                <w:color w:val="000000" w:themeColor="text1"/>
                <w:sz w:val="20"/>
                <w:szCs w:val="20"/>
              </w:rPr>
              <w:t>online group meeting 2</w:t>
            </w:r>
          </w:p>
          <w:p w14:paraId="2C6CFBA1"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(1.5–2 hours)</w:t>
            </w:r>
          </w:p>
        </w:tc>
        <w:tc>
          <w:tcPr>
            <w:tcW w:w="5670" w:type="dxa"/>
            <w:shd w:val="clear" w:color="auto" w:fill="D1D1D1" w:themeFill="background2" w:themeFillShade="E6"/>
            <w:hideMark/>
          </w:tcPr>
          <w:p w14:paraId="6BFE164B"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report on ethics approval</w:t>
            </w:r>
          </w:p>
          <w:p w14:paraId="0DAA2E0A"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final troubleshooting before deployment</w:t>
            </w:r>
          </w:p>
        </w:tc>
        <w:tc>
          <w:tcPr>
            <w:tcW w:w="4314" w:type="dxa"/>
            <w:shd w:val="clear" w:color="auto" w:fill="D1D1D1" w:themeFill="background2" w:themeFillShade="E6"/>
          </w:tcPr>
          <w:p w14:paraId="54B4F399"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refined activities and deployment plan</w:t>
            </w:r>
          </w:p>
          <w:p w14:paraId="3CF216BD"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final update of local ethics approval</w:t>
            </w:r>
          </w:p>
        </w:tc>
      </w:tr>
      <w:tr w:rsidR="00DA3E64" w:rsidRPr="00DA3E64" w14:paraId="55E19719" w14:textId="77777777" w:rsidTr="00744692">
        <w:tc>
          <w:tcPr>
            <w:tcW w:w="0" w:type="auto"/>
          </w:tcPr>
          <w:p w14:paraId="13A3858A" w14:textId="77777777" w:rsidR="00DA3E64" w:rsidRPr="00DA3E64" w:rsidRDefault="00DA3E64" w:rsidP="00744692">
            <w:pPr>
              <w:spacing w:line="278" w:lineRule="auto"/>
              <w:rPr>
                <w:b/>
                <w:bCs/>
                <w:color w:val="000000" w:themeColor="text1"/>
                <w:sz w:val="20"/>
                <w:szCs w:val="20"/>
              </w:rPr>
            </w:pPr>
            <w:r w:rsidRPr="00DA3E64">
              <w:rPr>
                <w:b/>
                <w:bCs/>
                <w:color w:val="000000" w:themeColor="text1"/>
                <w:sz w:val="20"/>
                <w:szCs w:val="20"/>
              </w:rPr>
              <w:t>Dec</w:t>
            </w:r>
          </w:p>
        </w:tc>
        <w:tc>
          <w:tcPr>
            <w:tcW w:w="2771" w:type="dxa"/>
          </w:tcPr>
          <w:p w14:paraId="0346AA38" w14:textId="77777777" w:rsidR="00DA3E64" w:rsidRPr="00DA3E64" w:rsidRDefault="00DA3E64" w:rsidP="00744692">
            <w:pPr>
              <w:spacing w:after="160" w:line="278" w:lineRule="auto"/>
              <w:rPr>
                <w:b/>
                <w:bCs/>
                <w:color w:val="000000" w:themeColor="text1"/>
                <w:sz w:val="20"/>
                <w:szCs w:val="20"/>
              </w:rPr>
            </w:pPr>
            <w:r w:rsidRPr="00DA3E64">
              <w:rPr>
                <w:b/>
                <w:bCs/>
                <w:color w:val="000000" w:themeColor="text1"/>
                <w:sz w:val="20"/>
                <w:szCs w:val="20"/>
              </w:rPr>
              <w:t>online group meeting 3 (drop-in)</w:t>
            </w:r>
          </w:p>
          <w:p w14:paraId="48FCEAD4" w14:textId="77777777" w:rsidR="00DA3E64" w:rsidRPr="00DA3E64" w:rsidRDefault="00DA3E64" w:rsidP="00744692">
            <w:pPr>
              <w:spacing w:line="278" w:lineRule="auto"/>
              <w:rPr>
                <w:b/>
                <w:bCs/>
                <w:color w:val="000000" w:themeColor="text1"/>
                <w:sz w:val="20"/>
                <w:szCs w:val="20"/>
              </w:rPr>
            </w:pPr>
            <w:r w:rsidRPr="00DA3E64">
              <w:rPr>
                <w:color w:val="000000" w:themeColor="text1"/>
                <w:sz w:val="20"/>
                <w:szCs w:val="20"/>
              </w:rPr>
              <w:t>(1.5–2 hours)</w:t>
            </w:r>
          </w:p>
        </w:tc>
        <w:tc>
          <w:tcPr>
            <w:tcW w:w="5670" w:type="dxa"/>
          </w:tcPr>
          <w:p w14:paraId="29C9A19C"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Follow up</w:t>
            </w:r>
          </w:p>
          <w:p w14:paraId="374998F1" w14:textId="77777777" w:rsidR="00DA3E64" w:rsidRPr="00DA3E64" w:rsidRDefault="00DA3E64" w:rsidP="00744692">
            <w:pPr>
              <w:spacing w:line="278" w:lineRule="auto"/>
              <w:rPr>
                <w:color w:val="000000" w:themeColor="text1"/>
                <w:sz w:val="20"/>
                <w:szCs w:val="20"/>
              </w:rPr>
            </w:pPr>
            <w:r w:rsidRPr="00DA3E64">
              <w:rPr>
                <w:color w:val="000000" w:themeColor="text1"/>
                <w:sz w:val="20"/>
                <w:szCs w:val="20"/>
              </w:rPr>
              <w:t>wrap up the term</w:t>
            </w:r>
          </w:p>
        </w:tc>
        <w:tc>
          <w:tcPr>
            <w:tcW w:w="4314" w:type="dxa"/>
          </w:tcPr>
          <w:p w14:paraId="1D7D2307"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finalised activities and deployment plan</w:t>
            </w:r>
          </w:p>
          <w:p w14:paraId="64B59656"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clear timeline for implementation</w:t>
            </w:r>
          </w:p>
          <w:p w14:paraId="2555566F" w14:textId="77777777" w:rsidR="00DA3E64" w:rsidRPr="00DA3E64" w:rsidRDefault="00DA3E64" w:rsidP="00744692">
            <w:pPr>
              <w:spacing w:line="278" w:lineRule="auto"/>
              <w:rPr>
                <w:color w:val="EE0000"/>
                <w:sz w:val="20"/>
                <w:szCs w:val="20"/>
              </w:rPr>
            </w:pPr>
            <w:r w:rsidRPr="00DA3E64">
              <w:rPr>
                <w:color w:val="000000" w:themeColor="text1"/>
                <w:sz w:val="20"/>
                <w:szCs w:val="20"/>
              </w:rPr>
              <w:t>final thoughts</w:t>
            </w:r>
          </w:p>
        </w:tc>
      </w:tr>
      <w:tr w:rsidR="00DA3E64" w:rsidRPr="00DA3E64" w14:paraId="2ADD0F54" w14:textId="77777777" w:rsidTr="00744692">
        <w:trPr>
          <w:trHeight w:val="1734"/>
        </w:trPr>
        <w:tc>
          <w:tcPr>
            <w:tcW w:w="0" w:type="auto"/>
            <w:shd w:val="clear" w:color="auto" w:fill="D1D1D1" w:themeFill="background2" w:themeFillShade="E6"/>
            <w:hideMark/>
          </w:tcPr>
          <w:p w14:paraId="4A6E6B74" w14:textId="77777777" w:rsidR="00DA3E64" w:rsidRPr="00DA3E64" w:rsidRDefault="00DA3E64" w:rsidP="00744692">
            <w:pPr>
              <w:spacing w:after="160" w:line="278" w:lineRule="auto"/>
              <w:rPr>
                <w:color w:val="000000" w:themeColor="text1"/>
                <w:sz w:val="20"/>
                <w:szCs w:val="20"/>
              </w:rPr>
            </w:pPr>
            <w:r w:rsidRPr="00DA3E64">
              <w:rPr>
                <w:b/>
                <w:bCs/>
                <w:color w:val="000000" w:themeColor="text1"/>
                <w:sz w:val="20"/>
                <w:szCs w:val="20"/>
              </w:rPr>
              <w:t>Feb – April 2026</w:t>
            </w:r>
          </w:p>
        </w:tc>
        <w:tc>
          <w:tcPr>
            <w:tcW w:w="2771" w:type="dxa"/>
            <w:shd w:val="clear" w:color="auto" w:fill="D1D1D1" w:themeFill="background2" w:themeFillShade="E6"/>
            <w:hideMark/>
          </w:tcPr>
          <w:p w14:paraId="091D2506" w14:textId="77777777" w:rsidR="00DA3E64" w:rsidRPr="00DA3E64" w:rsidRDefault="00DA3E64" w:rsidP="00744692">
            <w:pPr>
              <w:spacing w:after="160" w:line="278" w:lineRule="auto"/>
              <w:rPr>
                <w:color w:val="000000" w:themeColor="text1"/>
                <w:sz w:val="20"/>
                <w:szCs w:val="20"/>
              </w:rPr>
            </w:pPr>
            <w:r w:rsidRPr="00DA3E64">
              <w:rPr>
                <w:b/>
                <w:bCs/>
                <w:color w:val="000000" w:themeColor="text1"/>
                <w:sz w:val="20"/>
                <w:szCs w:val="20"/>
              </w:rPr>
              <w:t>all participants</w:t>
            </w:r>
          </w:p>
        </w:tc>
        <w:tc>
          <w:tcPr>
            <w:tcW w:w="5670" w:type="dxa"/>
            <w:shd w:val="clear" w:color="auto" w:fill="D1D1D1" w:themeFill="background2" w:themeFillShade="E6"/>
            <w:hideMark/>
          </w:tcPr>
          <w:p w14:paraId="3E220F87"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implement escape room/puzzle-based activities</w:t>
            </w:r>
          </w:p>
          <w:p w14:paraId="3BBA784C"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collect student perception data, concept checks (if feasible), performance data (if linked to assessment)</w:t>
            </w:r>
          </w:p>
          <w:p w14:paraId="7BA5D5AB"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log reflections and challenges</w:t>
            </w:r>
          </w:p>
        </w:tc>
        <w:tc>
          <w:tcPr>
            <w:tcW w:w="4314" w:type="dxa"/>
            <w:shd w:val="clear" w:color="auto" w:fill="D1D1D1" w:themeFill="background2" w:themeFillShade="E6"/>
            <w:hideMark/>
          </w:tcPr>
          <w:p w14:paraId="24030E10"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local implementations documented</w:t>
            </w:r>
          </w:p>
          <w:p w14:paraId="243F48EA"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data collection aligned to shared framework</w:t>
            </w:r>
          </w:p>
        </w:tc>
      </w:tr>
      <w:tr w:rsidR="00DA3E64" w:rsidRPr="00DA3E64" w14:paraId="4C091682" w14:textId="77777777" w:rsidTr="00744692">
        <w:trPr>
          <w:trHeight w:val="542"/>
        </w:trPr>
        <w:tc>
          <w:tcPr>
            <w:tcW w:w="0" w:type="auto"/>
            <w:vMerge w:val="restart"/>
            <w:hideMark/>
          </w:tcPr>
          <w:p w14:paraId="7DA1C694" w14:textId="77777777" w:rsidR="00DA3E64" w:rsidRPr="00DA3E64" w:rsidRDefault="00DA3E64" w:rsidP="00744692">
            <w:pPr>
              <w:spacing w:after="160" w:line="278" w:lineRule="auto"/>
              <w:rPr>
                <w:color w:val="000000" w:themeColor="text1"/>
                <w:sz w:val="20"/>
                <w:szCs w:val="20"/>
              </w:rPr>
            </w:pPr>
            <w:r w:rsidRPr="00DA3E64">
              <w:rPr>
                <w:b/>
                <w:bCs/>
                <w:color w:val="000000" w:themeColor="text1"/>
                <w:sz w:val="20"/>
                <w:szCs w:val="20"/>
              </w:rPr>
              <w:t>May-June 2026</w:t>
            </w:r>
          </w:p>
        </w:tc>
        <w:tc>
          <w:tcPr>
            <w:tcW w:w="2771" w:type="dxa"/>
            <w:hideMark/>
          </w:tcPr>
          <w:p w14:paraId="424C1D64" w14:textId="77777777" w:rsidR="00DA3E64" w:rsidRPr="00DA3E64" w:rsidRDefault="00DA3E64" w:rsidP="00744692">
            <w:pPr>
              <w:spacing w:after="160" w:line="278" w:lineRule="auto"/>
              <w:rPr>
                <w:b/>
                <w:bCs/>
                <w:color w:val="000000" w:themeColor="text1"/>
                <w:sz w:val="20"/>
                <w:szCs w:val="20"/>
              </w:rPr>
            </w:pPr>
            <w:r w:rsidRPr="00DA3E64">
              <w:rPr>
                <w:b/>
                <w:bCs/>
                <w:color w:val="000000" w:themeColor="text1"/>
                <w:sz w:val="20"/>
                <w:szCs w:val="20"/>
              </w:rPr>
              <w:t>online group meeting 4</w:t>
            </w:r>
          </w:p>
          <w:p w14:paraId="7D106874"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(1.5–2 hours)</w:t>
            </w:r>
          </w:p>
        </w:tc>
        <w:tc>
          <w:tcPr>
            <w:tcW w:w="5670" w:type="dxa"/>
            <w:hideMark/>
          </w:tcPr>
          <w:p w14:paraId="79843641"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debrief session</w:t>
            </w:r>
          </w:p>
          <w:p w14:paraId="60224F3A"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share initial data insights</w:t>
            </w:r>
          </w:p>
          <w:p w14:paraId="1F464867"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discuss publication pathways and authorship</w:t>
            </w:r>
          </w:p>
        </w:tc>
        <w:tc>
          <w:tcPr>
            <w:tcW w:w="4314" w:type="dxa"/>
            <w:hideMark/>
          </w:tcPr>
          <w:p w14:paraId="66545335"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collaborative planning for outputs</w:t>
            </w:r>
          </w:p>
        </w:tc>
      </w:tr>
      <w:tr w:rsidR="00DA3E64" w:rsidRPr="00DA3E64" w14:paraId="6D42F7A7" w14:textId="77777777" w:rsidTr="00744692">
        <w:trPr>
          <w:trHeight w:val="541"/>
        </w:trPr>
        <w:tc>
          <w:tcPr>
            <w:tcW w:w="0" w:type="auto"/>
            <w:vMerge/>
          </w:tcPr>
          <w:p w14:paraId="13B1558B" w14:textId="77777777" w:rsidR="00DA3E64" w:rsidRPr="00DA3E64" w:rsidRDefault="00DA3E64" w:rsidP="00744692">
            <w:pPr>
              <w:spacing w:line="278" w:lineRule="auto"/>
              <w:rPr>
                <w:b/>
                <w:bCs/>
                <w:color w:val="000000" w:themeColor="text1"/>
                <w:sz w:val="20"/>
                <w:szCs w:val="20"/>
              </w:rPr>
            </w:pPr>
          </w:p>
        </w:tc>
        <w:tc>
          <w:tcPr>
            <w:tcW w:w="2771" w:type="dxa"/>
          </w:tcPr>
          <w:p w14:paraId="152B6095" w14:textId="77777777" w:rsidR="00DA3E64" w:rsidRPr="00DA3E64" w:rsidRDefault="00DA3E64" w:rsidP="00744692">
            <w:pPr>
              <w:spacing w:line="278" w:lineRule="auto"/>
              <w:rPr>
                <w:b/>
                <w:bCs/>
                <w:color w:val="000000" w:themeColor="text1"/>
                <w:sz w:val="20"/>
                <w:szCs w:val="20"/>
              </w:rPr>
            </w:pPr>
            <w:r w:rsidRPr="00DA3E64">
              <w:rPr>
                <w:b/>
                <w:bCs/>
                <w:color w:val="000000" w:themeColor="text1"/>
                <w:sz w:val="20"/>
                <w:szCs w:val="20"/>
              </w:rPr>
              <w:t>follow-up (project leads)</w:t>
            </w:r>
          </w:p>
        </w:tc>
        <w:tc>
          <w:tcPr>
            <w:tcW w:w="5670" w:type="dxa"/>
          </w:tcPr>
          <w:p w14:paraId="3C24F89D"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collate, clean, and centralise data</w:t>
            </w:r>
          </w:p>
          <w:p w14:paraId="7162799F" w14:textId="77777777" w:rsidR="00DA3E64" w:rsidRPr="00DA3E64" w:rsidRDefault="00DA3E64" w:rsidP="00744692">
            <w:pPr>
              <w:spacing w:line="278" w:lineRule="auto"/>
              <w:rPr>
                <w:color w:val="000000" w:themeColor="text1"/>
                <w:sz w:val="20"/>
                <w:szCs w:val="20"/>
              </w:rPr>
            </w:pPr>
            <w:r w:rsidRPr="00DA3E64">
              <w:rPr>
                <w:color w:val="000000" w:themeColor="text1"/>
                <w:sz w:val="20"/>
                <w:szCs w:val="20"/>
              </w:rPr>
              <w:t>maintain shared data repository</w:t>
            </w:r>
          </w:p>
        </w:tc>
        <w:tc>
          <w:tcPr>
            <w:tcW w:w="4314" w:type="dxa"/>
          </w:tcPr>
          <w:p w14:paraId="69E0B9C0" w14:textId="77777777" w:rsidR="00DA3E64" w:rsidRPr="00DA3E64" w:rsidRDefault="00DA3E64" w:rsidP="00744692">
            <w:pPr>
              <w:spacing w:line="278" w:lineRule="auto"/>
              <w:rPr>
                <w:color w:val="000000" w:themeColor="text1"/>
                <w:sz w:val="20"/>
                <w:szCs w:val="20"/>
              </w:rPr>
            </w:pPr>
            <w:r w:rsidRPr="00DA3E64">
              <w:rPr>
                <w:color w:val="000000" w:themeColor="text1"/>
                <w:sz w:val="20"/>
                <w:szCs w:val="20"/>
              </w:rPr>
              <w:t>dataset for cross-site analysis</w:t>
            </w:r>
          </w:p>
        </w:tc>
      </w:tr>
      <w:tr w:rsidR="00DA3E64" w:rsidRPr="00DA3E64" w14:paraId="79B88904" w14:textId="77777777" w:rsidTr="00744692">
        <w:tc>
          <w:tcPr>
            <w:tcW w:w="0" w:type="auto"/>
            <w:shd w:val="clear" w:color="auto" w:fill="D1D1D1" w:themeFill="background2" w:themeFillShade="E6"/>
            <w:hideMark/>
          </w:tcPr>
          <w:p w14:paraId="3D23BA01" w14:textId="77777777" w:rsidR="00DA3E64" w:rsidRPr="00DA3E64" w:rsidRDefault="00DA3E64" w:rsidP="00744692">
            <w:pPr>
              <w:spacing w:after="160" w:line="278" w:lineRule="auto"/>
              <w:rPr>
                <w:color w:val="000000" w:themeColor="text1"/>
                <w:sz w:val="20"/>
                <w:szCs w:val="20"/>
              </w:rPr>
            </w:pPr>
            <w:r w:rsidRPr="00DA3E64">
              <w:rPr>
                <w:b/>
                <w:bCs/>
                <w:color w:val="000000" w:themeColor="text1"/>
                <w:sz w:val="20"/>
                <w:szCs w:val="20"/>
              </w:rPr>
              <w:t>June – Aug 2026</w:t>
            </w:r>
          </w:p>
        </w:tc>
        <w:tc>
          <w:tcPr>
            <w:tcW w:w="2771" w:type="dxa"/>
            <w:shd w:val="clear" w:color="auto" w:fill="D1D1D1" w:themeFill="background2" w:themeFillShade="E6"/>
            <w:hideMark/>
          </w:tcPr>
          <w:p w14:paraId="1EA3876A" w14:textId="77777777" w:rsidR="00DA3E64" w:rsidRPr="00DA3E64" w:rsidRDefault="00DA3E64" w:rsidP="00744692">
            <w:pPr>
              <w:spacing w:after="160" w:line="278" w:lineRule="auto"/>
              <w:rPr>
                <w:color w:val="000000" w:themeColor="text1"/>
                <w:sz w:val="20"/>
                <w:szCs w:val="20"/>
              </w:rPr>
            </w:pPr>
            <w:r w:rsidRPr="00DA3E64">
              <w:rPr>
                <w:b/>
                <w:bCs/>
                <w:color w:val="000000" w:themeColor="text1"/>
                <w:sz w:val="20"/>
                <w:szCs w:val="20"/>
              </w:rPr>
              <w:t>project leads + collaborators</w:t>
            </w:r>
          </w:p>
        </w:tc>
        <w:tc>
          <w:tcPr>
            <w:tcW w:w="5670" w:type="dxa"/>
            <w:shd w:val="clear" w:color="auto" w:fill="D1D1D1" w:themeFill="background2" w:themeFillShade="E6"/>
            <w:hideMark/>
          </w:tcPr>
          <w:p w14:paraId="028EB931"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draft collaborative paper/toolkit</w:t>
            </w:r>
          </w:p>
          <w:p w14:paraId="38632B72"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iterate on drafts via shared overleaf</w:t>
            </w:r>
          </w:p>
        </w:tc>
        <w:tc>
          <w:tcPr>
            <w:tcW w:w="4314" w:type="dxa"/>
            <w:shd w:val="clear" w:color="auto" w:fill="D1D1D1" w:themeFill="background2" w:themeFillShade="E6"/>
            <w:hideMark/>
          </w:tcPr>
          <w:p w14:paraId="4F86996B" w14:textId="77777777" w:rsidR="00DA3E64" w:rsidRPr="00DA3E64" w:rsidRDefault="00DA3E64" w:rsidP="00744692">
            <w:pPr>
              <w:spacing w:after="160" w:line="278" w:lineRule="auto"/>
              <w:rPr>
                <w:color w:val="000000" w:themeColor="text1"/>
                <w:sz w:val="20"/>
                <w:szCs w:val="20"/>
              </w:rPr>
            </w:pPr>
            <w:r w:rsidRPr="00DA3E64">
              <w:rPr>
                <w:color w:val="000000" w:themeColor="text1"/>
                <w:sz w:val="20"/>
                <w:szCs w:val="20"/>
              </w:rPr>
              <w:t>final output ready for dissemination (e.g. journal article, toolkit)</w:t>
            </w:r>
          </w:p>
        </w:tc>
      </w:tr>
    </w:tbl>
    <w:p w14:paraId="29EBA8F2" w14:textId="77777777" w:rsidR="00B4374E" w:rsidRPr="00B4374E" w:rsidRDefault="00B4374E" w:rsidP="00B4374E">
      <w:pPr>
        <w:spacing w:after="120" w:line="240" w:lineRule="atLeast"/>
        <w:jc w:val="both"/>
        <w:rPr>
          <w:rFonts w:ascii="Calibri" w:hAnsi="Calibri" w:cs="Calibri"/>
          <w:sz w:val="22"/>
          <w:szCs w:val="22"/>
        </w:rPr>
      </w:pPr>
    </w:p>
    <w:p w14:paraId="53F8FBE9" w14:textId="77777777" w:rsidR="001A2B8A" w:rsidRPr="000D5DE4" w:rsidRDefault="001A2B8A" w:rsidP="001A2B8A">
      <w:pPr>
        <w:pStyle w:val="ListParagraph"/>
        <w:numPr>
          <w:ilvl w:val="0"/>
          <w:numId w:val="1"/>
        </w:numPr>
        <w:spacing w:before="240" w:after="240"/>
        <w:ind w:left="357" w:hanging="357"/>
        <w:rPr>
          <w:rFonts w:ascii="Calibri" w:hAnsi="Calibri" w:cs="Calibri"/>
          <w:b/>
          <w:bCs/>
          <w:sz w:val="22"/>
          <w:szCs w:val="22"/>
        </w:rPr>
      </w:pPr>
      <w:r w:rsidRPr="00C433C7">
        <w:rPr>
          <w:rFonts w:ascii="Calibri" w:hAnsi="Calibri" w:cs="Calibri"/>
          <w:b/>
          <w:bCs/>
          <w:sz w:val="22"/>
          <w:szCs w:val="22"/>
        </w:rPr>
        <w:t>Study Design and Methodology</w:t>
      </w:r>
    </w:p>
    <w:p w14:paraId="11E504CC" w14:textId="77777777" w:rsidR="001A2B8A" w:rsidRPr="00C433C7" w:rsidRDefault="001A2B8A" w:rsidP="001A2B8A">
      <w:pPr>
        <w:pStyle w:val="ListParagraph"/>
        <w:spacing w:before="240" w:after="240"/>
        <w:ind w:left="357"/>
        <w:rPr>
          <w:rFonts w:ascii="Calibri" w:hAnsi="Calibri" w:cs="Calibri"/>
          <w:b/>
          <w:bCs/>
          <w:sz w:val="22"/>
          <w:szCs w:val="22"/>
        </w:rPr>
      </w:pPr>
    </w:p>
    <w:p w14:paraId="19F5AFD9" w14:textId="77777777" w:rsidR="001A2B8A" w:rsidRPr="00C433C7" w:rsidRDefault="001A2B8A" w:rsidP="001A2B8A">
      <w:pPr>
        <w:pStyle w:val="ListParagraph"/>
        <w:numPr>
          <w:ilvl w:val="1"/>
          <w:numId w:val="1"/>
        </w:numPr>
        <w:spacing w:before="240"/>
        <w:ind w:left="720"/>
        <w:rPr>
          <w:rFonts w:ascii="Calibri" w:hAnsi="Calibri" w:cs="Calibri"/>
          <w:b/>
          <w:bCs/>
          <w:sz w:val="22"/>
          <w:szCs w:val="22"/>
        </w:rPr>
      </w:pPr>
      <w:r w:rsidRPr="00C433C7">
        <w:rPr>
          <w:rFonts w:ascii="Calibri" w:hAnsi="Calibri" w:cs="Calibri"/>
          <w:b/>
          <w:bCs/>
          <w:sz w:val="22"/>
          <w:szCs w:val="22"/>
        </w:rPr>
        <w:t>Study Design</w:t>
      </w:r>
    </w:p>
    <w:p w14:paraId="0167D1FB" w14:textId="77777777" w:rsidR="001A2B8A" w:rsidRPr="00C433C7" w:rsidRDefault="001A2B8A" w:rsidP="001A2B8A">
      <w:pPr>
        <w:jc w:val="both"/>
        <w:rPr>
          <w:rFonts w:ascii="Calibri" w:hAnsi="Calibri" w:cs="Calibri"/>
          <w:sz w:val="22"/>
          <w:szCs w:val="22"/>
        </w:rPr>
      </w:pPr>
      <w:r w:rsidRPr="00C433C7">
        <w:rPr>
          <w:rFonts w:ascii="Calibri" w:hAnsi="Calibri" w:cs="Calibri"/>
          <w:sz w:val="22"/>
          <w:szCs w:val="22"/>
        </w:rPr>
        <w:t>This is a mixed-methods, multi-institutional collaborative study involving the co-design, pilot testing, and evaluation of non-linear, puzzle-based learning activities embedded in AI/ML curricula. Both quantitative (pre/post assessments, surveys) and qualitative (educator reflections, student feedback) data will be collected.</w:t>
      </w:r>
    </w:p>
    <w:p w14:paraId="06EF3BDD" w14:textId="77777777" w:rsidR="001A2B8A" w:rsidRPr="00C433C7" w:rsidRDefault="001A2B8A" w:rsidP="001A2B8A">
      <w:pPr>
        <w:pStyle w:val="ListParagraph"/>
        <w:numPr>
          <w:ilvl w:val="1"/>
          <w:numId w:val="1"/>
        </w:numPr>
        <w:spacing w:before="240"/>
        <w:ind w:left="720"/>
        <w:rPr>
          <w:rFonts w:ascii="Calibri" w:hAnsi="Calibri" w:cs="Calibri"/>
          <w:b/>
          <w:bCs/>
          <w:sz w:val="22"/>
          <w:szCs w:val="22"/>
        </w:rPr>
      </w:pPr>
      <w:r w:rsidRPr="00C433C7">
        <w:rPr>
          <w:rFonts w:ascii="Calibri" w:hAnsi="Calibri" w:cs="Calibri"/>
          <w:b/>
          <w:bCs/>
          <w:sz w:val="22"/>
          <w:szCs w:val="22"/>
        </w:rPr>
        <w:lastRenderedPageBreak/>
        <w:t>Participants</w:t>
      </w:r>
    </w:p>
    <w:p w14:paraId="22D8512C" w14:textId="77777777" w:rsidR="001A2B8A" w:rsidRPr="000D5DE4" w:rsidRDefault="001A2B8A" w:rsidP="001A2B8A">
      <w:pPr>
        <w:jc w:val="both"/>
        <w:rPr>
          <w:rFonts w:ascii="Calibri" w:hAnsi="Calibri" w:cs="Calibri"/>
          <w:sz w:val="22"/>
          <w:szCs w:val="22"/>
        </w:rPr>
      </w:pPr>
      <w:r w:rsidRPr="00C433C7">
        <w:rPr>
          <w:rFonts w:ascii="Calibri" w:hAnsi="Calibri" w:cs="Calibri"/>
          <w:sz w:val="22"/>
          <w:szCs w:val="22"/>
        </w:rPr>
        <w:t>The target population includes AI/ML students and educators across participating institutions in Great Britain. Participants will be selected from course cohorts delivering the standardized six-lecture curriculum developed for this project. Sampling will aim to balance representation across regions (England, Scotland, Wales, Ireland) to ensure generalizability.</w:t>
      </w:r>
    </w:p>
    <w:p w14:paraId="5FAED9B0" w14:textId="77777777" w:rsidR="001A2B8A" w:rsidRPr="000D5DE4" w:rsidRDefault="001A2B8A" w:rsidP="001A2B8A">
      <w:pPr>
        <w:pStyle w:val="ListParagraph"/>
        <w:numPr>
          <w:ilvl w:val="1"/>
          <w:numId w:val="1"/>
        </w:numPr>
        <w:spacing w:before="240"/>
        <w:ind w:left="720"/>
        <w:rPr>
          <w:rFonts w:ascii="Calibri" w:hAnsi="Calibri" w:cs="Calibri"/>
          <w:b/>
          <w:bCs/>
          <w:sz w:val="22"/>
          <w:szCs w:val="22"/>
        </w:rPr>
      </w:pPr>
      <w:r w:rsidRPr="00C433C7">
        <w:rPr>
          <w:rFonts w:ascii="Calibri" w:hAnsi="Calibri" w:cs="Calibri"/>
          <w:b/>
          <w:bCs/>
          <w:sz w:val="22"/>
          <w:szCs w:val="22"/>
        </w:rPr>
        <w:t>Minimum Protocol for Project Participants</w:t>
      </w:r>
    </w:p>
    <w:p w14:paraId="51E22F2F" w14:textId="77777777" w:rsidR="001A2B8A" w:rsidRPr="00C433C7" w:rsidRDefault="001A2B8A" w:rsidP="001A2B8A">
      <w:pPr>
        <w:numPr>
          <w:ilvl w:val="0"/>
          <w:numId w:val="4"/>
        </w:numPr>
        <w:ind w:left="357" w:hanging="357"/>
        <w:jc w:val="both"/>
        <w:rPr>
          <w:rFonts w:ascii="Calibri" w:hAnsi="Calibri" w:cs="Calibri"/>
          <w:sz w:val="22"/>
          <w:szCs w:val="22"/>
        </w:rPr>
      </w:pPr>
      <w:r w:rsidRPr="00C433C7">
        <w:rPr>
          <w:rFonts w:ascii="Calibri" w:hAnsi="Calibri" w:cs="Calibri"/>
          <w:b/>
          <w:bCs/>
          <w:sz w:val="22"/>
          <w:szCs w:val="22"/>
        </w:rPr>
        <w:t>Consistency in Sample Variation</w:t>
      </w:r>
    </w:p>
    <w:p w14:paraId="6D38F1FE" w14:textId="77777777" w:rsidR="001A2B8A" w:rsidRPr="00C433C7" w:rsidRDefault="001A2B8A" w:rsidP="001A2B8A">
      <w:pPr>
        <w:numPr>
          <w:ilvl w:val="0"/>
          <w:numId w:val="7"/>
        </w:numPr>
        <w:spacing w:line="240" w:lineRule="atLeast"/>
        <w:ind w:left="714" w:hanging="357"/>
        <w:jc w:val="both"/>
        <w:rPr>
          <w:rFonts w:ascii="Calibri" w:hAnsi="Calibri" w:cs="Calibri"/>
          <w:sz w:val="22"/>
          <w:szCs w:val="22"/>
        </w:rPr>
      </w:pPr>
      <w:r w:rsidRPr="00C433C7">
        <w:rPr>
          <w:rFonts w:ascii="Calibri" w:hAnsi="Calibri" w:cs="Calibri"/>
          <w:sz w:val="22"/>
          <w:szCs w:val="22"/>
        </w:rPr>
        <w:t>Variation of samples across different locations must be controlled and balanced.</w:t>
      </w:r>
    </w:p>
    <w:p w14:paraId="3CA887E6" w14:textId="77777777" w:rsidR="001A2B8A" w:rsidRPr="00C433C7" w:rsidRDefault="001A2B8A" w:rsidP="001A2B8A">
      <w:pPr>
        <w:numPr>
          <w:ilvl w:val="0"/>
          <w:numId w:val="7"/>
        </w:numPr>
        <w:spacing w:line="240" w:lineRule="atLeast"/>
        <w:ind w:left="714" w:hanging="357"/>
        <w:jc w:val="both"/>
        <w:rPr>
          <w:rFonts w:ascii="Calibri" w:hAnsi="Calibri" w:cs="Calibri"/>
          <w:sz w:val="22"/>
          <w:szCs w:val="22"/>
        </w:rPr>
      </w:pPr>
      <w:r w:rsidRPr="00C433C7">
        <w:rPr>
          <w:rFonts w:ascii="Calibri" w:hAnsi="Calibri" w:cs="Calibri"/>
          <w:sz w:val="22"/>
          <w:szCs w:val="22"/>
        </w:rPr>
        <w:t>Ensure proportional representation of samples from different regions (e.g., England, Ireland, Scotland, Wales) to avoid bias.</w:t>
      </w:r>
    </w:p>
    <w:p w14:paraId="28724851" w14:textId="77777777" w:rsidR="001A2B8A" w:rsidRPr="00C433C7" w:rsidRDefault="001A2B8A" w:rsidP="001A2B8A">
      <w:pPr>
        <w:numPr>
          <w:ilvl w:val="0"/>
          <w:numId w:val="7"/>
        </w:numPr>
        <w:spacing w:line="240" w:lineRule="atLeast"/>
        <w:ind w:left="714" w:hanging="357"/>
        <w:jc w:val="both"/>
        <w:rPr>
          <w:rFonts w:ascii="Calibri" w:hAnsi="Calibri" w:cs="Calibri"/>
          <w:sz w:val="22"/>
          <w:szCs w:val="22"/>
        </w:rPr>
      </w:pPr>
      <w:r w:rsidRPr="00C433C7">
        <w:rPr>
          <w:rFonts w:ascii="Calibri" w:hAnsi="Calibri" w:cs="Calibri"/>
          <w:sz w:val="22"/>
          <w:szCs w:val="22"/>
        </w:rPr>
        <w:t>Aim for representative sample distribution to support generalized conclusions.</w:t>
      </w:r>
    </w:p>
    <w:p w14:paraId="434D0306" w14:textId="77777777" w:rsidR="001A2B8A" w:rsidRPr="00C433C7" w:rsidRDefault="001A2B8A" w:rsidP="001A2B8A">
      <w:pPr>
        <w:numPr>
          <w:ilvl w:val="0"/>
          <w:numId w:val="4"/>
        </w:numPr>
        <w:ind w:left="357" w:hanging="357"/>
        <w:jc w:val="both"/>
        <w:rPr>
          <w:rFonts w:ascii="Calibri" w:hAnsi="Calibri" w:cs="Calibri"/>
          <w:sz w:val="22"/>
          <w:szCs w:val="22"/>
        </w:rPr>
      </w:pPr>
      <w:r w:rsidRPr="00C433C7">
        <w:rPr>
          <w:rFonts w:ascii="Calibri" w:hAnsi="Calibri" w:cs="Calibri"/>
          <w:b/>
          <w:bCs/>
          <w:sz w:val="22"/>
          <w:szCs w:val="22"/>
        </w:rPr>
        <w:t>Unified Learning Material Development</w:t>
      </w:r>
    </w:p>
    <w:p w14:paraId="7C79CE79" w14:textId="77777777" w:rsidR="001A2B8A" w:rsidRPr="00C433C7" w:rsidRDefault="001A2B8A" w:rsidP="001A2B8A">
      <w:pPr>
        <w:numPr>
          <w:ilvl w:val="0"/>
          <w:numId w:val="8"/>
        </w:numPr>
        <w:spacing w:line="240" w:lineRule="atLeast"/>
        <w:ind w:left="714" w:hanging="357"/>
        <w:jc w:val="both"/>
        <w:rPr>
          <w:rFonts w:ascii="Calibri" w:hAnsi="Calibri" w:cs="Calibri"/>
          <w:sz w:val="22"/>
          <w:szCs w:val="22"/>
        </w:rPr>
      </w:pPr>
      <w:r w:rsidRPr="00C433C7">
        <w:rPr>
          <w:rFonts w:ascii="Calibri" w:hAnsi="Calibri" w:cs="Calibri"/>
          <w:sz w:val="22"/>
          <w:szCs w:val="22"/>
        </w:rPr>
        <w:t>Develop a standardized six-lecture course structure to be uniformly applied across all participant locations.</w:t>
      </w:r>
    </w:p>
    <w:p w14:paraId="67F2FB3B" w14:textId="77777777" w:rsidR="001A2B8A" w:rsidRPr="00C433C7" w:rsidRDefault="001A2B8A" w:rsidP="001A2B8A">
      <w:pPr>
        <w:numPr>
          <w:ilvl w:val="0"/>
          <w:numId w:val="8"/>
        </w:numPr>
        <w:spacing w:line="240" w:lineRule="atLeast"/>
        <w:ind w:left="714" w:hanging="357"/>
        <w:jc w:val="both"/>
        <w:rPr>
          <w:rFonts w:ascii="Calibri" w:hAnsi="Calibri" w:cs="Calibri"/>
          <w:sz w:val="22"/>
          <w:szCs w:val="22"/>
        </w:rPr>
      </w:pPr>
      <w:r w:rsidRPr="00C433C7">
        <w:rPr>
          <w:rFonts w:ascii="Calibri" w:hAnsi="Calibri" w:cs="Calibri"/>
          <w:sz w:val="22"/>
          <w:szCs w:val="22"/>
        </w:rPr>
        <w:t>All participants must adhere to this fixed course structure to ensure consistency in learning objectives and content delivery.</w:t>
      </w:r>
    </w:p>
    <w:p w14:paraId="6F9CE943" w14:textId="77777777" w:rsidR="001A2B8A" w:rsidRPr="00C433C7" w:rsidRDefault="001A2B8A" w:rsidP="001A2B8A">
      <w:pPr>
        <w:numPr>
          <w:ilvl w:val="0"/>
          <w:numId w:val="4"/>
        </w:numPr>
        <w:ind w:left="357" w:hanging="357"/>
        <w:jc w:val="both"/>
        <w:rPr>
          <w:rFonts w:ascii="Calibri" w:hAnsi="Calibri" w:cs="Calibri"/>
          <w:sz w:val="22"/>
          <w:szCs w:val="22"/>
        </w:rPr>
      </w:pPr>
      <w:r w:rsidRPr="00C433C7">
        <w:rPr>
          <w:rFonts w:ascii="Calibri" w:hAnsi="Calibri" w:cs="Calibri"/>
          <w:b/>
          <w:bCs/>
          <w:sz w:val="22"/>
          <w:szCs w:val="22"/>
        </w:rPr>
        <w:t>Division of Teaching Materials by Methodology</w:t>
      </w:r>
    </w:p>
    <w:p w14:paraId="71AD9F94" w14:textId="77777777" w:rsidR="001A2B8A" w:rsidRPr="000D5DE4" w:rsidRDefault="001A2B8A" w:rsidP="001A2B8A">
      <w:pPr>
        <w:numPr>
          <w:ilvl w:val="0"/>
          <w:numId w:val="9"/>
        </w:numPr>
        <w:spacing w:line="240" w:lineRule="atLeast"/>
        <w:ind w:hanging="357"/>
        <w:jc w:val="both"/>
        <w:rPr>
          <w:rFonts w:ascii="Calibri" w:hAnsi="Calibri" w:cs="Calibri"/>
          <w:sz w:val="22"/>
          <w:szCs w:val="22"/>
        </w:rPr>
      </w:pPr>
      <w:r w:rsidRPr="00C433C7">
        <w:rPr>
          <w:rFonts w:ascii="Calibri" w:hAnsi="Calibri" w:cs="Calibri"/>
          <w:sz w:val="22"/>
          <w:szCs w:val="22"/>
        </w:rPr>
        <w:t>Clearly categorize course materials into two methodologies:</w:t>
      </w:r>
    </w:p>
    <w:p w14:paraId="2CCFF4DE" w14:textId="77777777" w:rsidR="001A2B8A" w:rsidRPr="000D5DE4" w:rsidRDefault="001A2B8A" w:rsidP="001A2B8A">
      <w:pPr>
        <w:pStyle w:val="ListParagraph"/>
        <w:numPr>
          <w:ilvl w:val="0"/>
          <w:numId w:val="10"/>
        </w:numPr>
        <w:spacing w:line="240" w:lineRule="atLeast"/>
        <w:ind w:hanging="357"/>
        <w:jc w:val="both"/>
        <w:rPr>
          <w:rFonts w:ascii="Calibri" w:hAnsi="Calibri" w:cs="Calibri"/>
          <w:sz w:val="22"/>
          <w:szCs w:val="22"/>
        </w:rPr>
      </w:pPr>
      <w:r w:rsidRPr="000D5DE4">
        <w:rPr>
          <w:rFonts w:ascii="Calibri" w:hAnsi="Calibri" w:cs="Calibri"/>
          <w:sz w:val="22"/>
          <w:szCs w:val="22"/>
        </w:rPr>
        <w:t>Traditional Teaching Materials: Conventional lectures and assessments.</w:t>
      </w:r>
    </w:p>
    <w:p w14:paraId="40F1A51E" w14:textId="77777777" w:rsidR="001A2B8A" w:rsidRPr="000D5DE4" w:rsidRDefault="001A2B8A" w:rsidP="001A2B8A">
      <w:pPr>
        <w:pStyle w:val="ListParagraph"/>
        <w:numPr>
          <w:ilvl w:val="0"/>
          <w:numId w:val="10"/>
        </w:numPr>
        <w:spacing w:line="240" w:lineRule="atLeast"/>
        <w:ind w:hanging="357"/>
        <w:jc w:val="both"/>
        <w:rPr>
          <w:rFonts w:ascii="Calibri" w:hAnsi="Calibri" w:cs="Calibri"/>
          <w:sz w:val="22"/>
          <w:szCs w:val="22"/>
        </w:rPr>
      </w:pPr>
      <w:r w:rsidRPr="000D5DE4">
        <w:rPr>
          <w:rFonts w:ascii="Calibri" w:hAnsi="Calibri" w:cs="Calibri"/>
          <w:sz w:val="22"/>
          <w:szCs w:val="22"/>
        </w:rPr>
        <w:t>Gamification-based Materials: Interactive, puzzle-based activities such as escape room exercises.</w:t>
      </w:r>
    </w:p>
    <w:p w14:paraId="115839C8" w14:textId="77777777" w:rsidR="001A2B8A" w:rsidRPr="00C433C7" w:rsidRDefault="001A2B8A" w:rsidP="001A2B8A">
      <w:pPr>
        <w:numPr>
          <w:ilvl w:val="0"/>
          <w:numId w:val="9"/>
        </w:numPr>
        <w:spacing w:line="240" w:lineRule="atLeast"/>
        <w:ind w:hanging="357"/>
        <w:jc w:val="both"/>
        <w:rPr>
          <w:rFonts w:ascii="Calibri" w:hAnsi="Calibri" w:cs="Calibri"/>
          <w:sz w:val="22"/>
          <w:szCs w:val="22"/>
        </w:rPr>
      </w:pPr>
      <w:r w:rsidRPr="00C433C7">
        <w:rPr>
          <w:rFonts w:ascii="Calibri" w:hAnsi="Calibri" w:cs="Calibri"/>
          <w:sz w:val="22"/>
          <w:szCs w:val="22"/>
        </w:rPr>
        <w:t>Each participant institution must deliver these materials according to their respective methodologies for accurate comparative evaluation.</w:t>
      </w:r>
    </w:p>
    <w:p w14:paraId="00AD64E2" w14:textId="77777777" w:rsidR="001A2B8A" w:rsidRPr="00C433C7" w:rsidRDefault="001A2B8A" w:rsidP="001A2B8A">
      <w:pPr>
        <w:numPr>
          <w:ilvl w:val="0"/>
          <w:numId w:val="4"/>
        </w:numPr>
        <w:ind w:left="357" w:hanging="357"/>
        <w:jc w:val="both"/>
        <w:rPr>
          <w:rFonts w:ascii="Calibri" w:hAnsi="Calibri" w:cs="Calibri"/>
          <w:sz w:val="22"/>
          <w:szCs w:val="22"/>
        </w:rPr>
      </w:pPr>
      <w:r w:rsidRPr="00C433C7">
        <w:rPr>
          <w:rFonts w:ascii="Calibri" w:hAnsi="Calibri" w:cs="Calibri"/>
          <w:b/>
          <w:bCs/>
          <w:sz w:val="22"/>
          <w:szCs w:val="22"/>
        </w:rPr>
        <w:t>Use of Evaluation Matrix</w:t>
      </w:r>
    </w:p>
    <w:p w14:paraId="1703E08F" w14:textId="77777777" w:rsidR="001A2B8A" w:rsidRPr="00C433C7" w:rsidRDefault="001A2B8A" w:rsidP="001A2B8A">
      <w:pPr>
        <w:jc w:val="both"/>
        <w:rPr>
          <w:rFonts w:ascii="Calibri" w:hAnsi="Calibri" w:cs="Calibri"/>
          <w:sz w:val="22"/>
          <w:szCs w:val="22"/>
        </w:rPr>
      </w:pPr>
      <w:r w:rsidRPr="00C433C7">
        <w:rPr>
          <w:rFonts w:ascii="Calibri" w:hAnsi="Calibri" w:cs="Calibri"/>
          <w:sz w:val="22"/>
          <w:szCs w:val="22"/>
        </w:rPr>
        <w:t>Implement a mixed-methods evaluation framework combining quantitative and qualitative assessments to gauge effectiveness and engagement comprehensively.</w:t>
      </w:r>
    </w:p>
    <w:p w14:paraId="0ACA991B" w14:textId="77777777" w:rsidR="001A2B8A" w:rsidRPr="000D5DE4" w:rsidRDefault="001A2B8A" w:rsidP="001A2B8A">
      <w:pPr>
        <w:pStyle w:val="ListParagraph"/>
        <w:numPr>
          <w:ilvl w:val="0"/>
          <w:numId w:val="11"/>
        </w:numPr>
        <w:jc w:val="both"/>
        <w:rPr>
          <w:rFonts w:ascii="Calibri" w:hAnsi="Calibri" w:cs="Calibri"/>
          <w:sz w:val="22"/>
          <w:szCs w:val="22"/>
        </w:rPr>
      </w:pPr>
      <w:r w:rsidRPr="000D5DE4">
        <w:rPr>
          <w:rFonts w:ascii="Calibri" w:hAnsi="Calibri" w:cs="Calibri"/>
          <w:b/>
          <w:bCs/>
          <w:sz w:val="22"/>
          <w:szCs w:val="22"/>
        </w:rPr>
        <w:t>Quantitative Assessment of Learning Gains:</w:t>
      </w:r>
    </w:p>
    <w:p w14:paraId="196066E8" w14:textId="77777777" w:rsidR="001A2B8A" w:rsidRPr="00C433C7" w:rsidRDefault="001A2B8A" w:rsidP="001A2B8A">
      <w:pPr>
        <w:numPr>
          <w:ilvl w:val="0"/>
          <w:numId w:val="5"/>
        </w:numPr>
        <w:spacing w:line="240" w:lineRule="atLeast"/>
        <w:ind w:left="1077" w:hanging="357"/>
        <w:jc w:val="both"/>
        <w:rPr>
          <w:rFonts w:ascii="Calibri" w:hAnsi="Calibri" w:cs="Calibri"/>
          <w:sz w:val="22"/>
          <w:szCs w:val="22"/>
        </w:rPr>
      </w:pPr>
      <w:r w:rsidRPr="00C433C7">
        <w:rPr>
          <w:rFonts w:ascii="Calibri" w:hAnsi="Calibri" w:cs="Calibri"/>
          <w:sz w:val="22"/>
          <w:szCs w:val="22"/>
        </w:rPr>
        <w:t>Conduct standardized pre- and post-activity assessments (e.g., quizzes, tests, concept checks) on core AI/ML concepts.</w:t>
      </w:r>
    </w:p>
    <w:p w14:paraId="2258960E" w14:textId="77777777" w:rsidR="001A2B8A" w:rsidRPr="00C433C7" w:rsidRDefault="001A2B8A" w:rsidP="001A2B8A">
      <w:pPr>
        <w:numPr>
          <w:ilvl w:val="0"/>
          <w:numId w:val="5"/>
        </w:numPr>
        <w:spacing w:line="240" w:lineRule="atLeast"/>
        <w:ind w:left="1077" w:hanging="357"/>
        <w:jc w:val="both"/>
        <w:rPr>
          <w:rFonts w:ascii="Calibri" w:hAnsi="Calibri" w:cs="Calibri"/>
          <w:sz w:val="22"/>
          <w:szCs w:val="22"/>
        </w:rPr>
      </w:pPr>
      <w:r w:rsidRPr="00C433C7">
        <w:rPr>
          <w:rFonts w:ascii="Calibri" w:hAnsi="Calibri" w:cs="Calibri"/>
          <w:sz w:val="22"/>
          <w:szCs w:val="22"/>
        </w:rPr>
        <w:t>Apply standardized scoring methods for reliable comparisons across different sites and cohorts.</w:t>
      </w:r>
    </w:p>
    <w:p w14:paraId="3B816905" w14:textId="77777777" w:rsidR="001A2B8A" w:rsidRPr="00C433C7" w:rsidRDefault="001A2B8A" w:rsidP="001A2B8A">
      <w:pPr>
        <w:pStyle w:val="ListParagraph"/>
        <w:numPr>
          <w:ilvl w:val="0"/>
          <w:numId w:val="11"/>
        </w:numPr>
        <w:jc w:val="both"/>
        <w:rPr>
          <w:rFonts w:ascii="Calibri" w:hAnsi="Calibri" w:cs="Calibri"/>
          <w:sz w:val="22"/>
          <w:szCs w:val="22"/>
        </w:rPr>
      </w:pPr>
      <w:r w:rsidRPr="00C433C7">
        <w:rPr>
          <w:rFonts w:ascii="Calibri" w:hAnsi="Calibri" w:cs="Calibri"/>
          <w:b/>
          <w:bCs/>
          <w:sz w:val="22"/>
          <w:szCs w:val="22"/>
        </w:rPr>
        <w:t>Qualitative Evaluation of Engagement and Interaction:</w:t>
      </w:r>
    </w:p>
    <w:p w14:paraId="6EA6C369" w14:textId="77777777" w:rsidR="001A2B8A" w:rsidRPr="00C433C7" w:rsidRDefault="001A2B8A" w:rsidP="001A2B8A">
      <w:pPr>
        <w:numPr>
          <w:ilvl w:val="0"/>
          <w:numId w:val="12"/>
        </w:numPr>
        <w:spacing w:line="240" w:lineRule="atLeast"/>
        <w:jc w:val="both"/>
        <w:rPr>
          <w:rFonts w:ascii="Calibri" w:hAnsi="Calibri" w:cs="Calibri"/>
          <w:sz w:val="22"/>
          <w:szCs w:val="22"/>
        </w:rPr>
      </w:pPr>
      <w:r w:rsidRPr="00C433C7">
        <w:rPr>
          <w:rFonts w:ascii="Calibri" w:hAnsi="Calibri" w:cs="Calibri"/>
          <w:sz w:val="22"/>
          <w:szCs w:val="22"/>
        </w:rPr>
        <w:t>Employ qualitative data collection methods including:</w:t>
      </w:r>
    </w:p>
    <w:p w14:paraId="0EA38C88" w14:textId="77777777" w:rsidR="001A2B8A" w:rsidRPr="00C433C7" w:rsidRDefault="001A2B8A" w:rsidP="001A2B8A">
      <w:pPr>
        <w:numPr>
          <w:ilvl w:val="2"/>
          <w:numId w:val="6"/>
        </w:numPr>
        <w:spacing w:line="240" w:lineRule="atLeast"/>
        <w:ind w:left="1434" w:hanging="357"/>
        <w:jc w:val="both"/>
        <w:rPr>
          <w:rFonts w:ascii="Calibri" w:hAnsi="Calibri" w:cs="Calibri"/>
          <w:sz w:val="22"/>
          <w:szCs w:val="22"/>
        </w:rPr>
      </w:pPr>
      <w:r w:rsidRPr="00C433C7">
        <w:rPr>
          <w:rFonts w:ascii="Calibri" w:hAnsi="Calibri" w:cs="Calibri"/>
          <w:sz w:val="22"/>
          <w:szCs w:val="22"/>
        </w:rPr>
        <w:t>Observational notes documenting student participation and interaction.</w:t>
      </w:r>
    </w:p>
    <w:p w14:paraId="3352FAC6" w14:textId="77777777" w:rsidR="001A2B8A" w:rsidRPr="00C433C7" w:rsidRDefault="001A2B8A" w:rsidP="001A2B8A">
      <w:pPr>
        <w:numPr>
          <w:ilvl w:val="2"/>
          <w:numId w:val="6"/>
        </w:numPr>
        <w:spacing w:line="240" w:lineRule="atLeast"/>
        <w:ind w:left="1434" w:hanging="357"/>
        <w:jc w:val="both"/>
        <w:rPr>
          <w:rFonts w:ascii="Calibri" w:hAnsi="Calibri" w:cs="Calibri"/>
          <w:sz w:val="22"/>
          <w:szCs w:val="22"/>
        </w:rPr>
      </w:pPr>
      <w:r w:rsidRPr="00C433C7">
        <w:rPr>
          <w:rFonts w:ascii="Calibri" w:hAnsi="Calibri" w:cs="Calibri"/>
          <w:sz w:val="22"/>
          <w:szCs w:val="22"/>
        </w:rPr>
        <w:t>Reflective feedback from students via open-ended surveys or written reflections.</w:t>
      </w:r>
    </w:p>
    <w:p w14:paraId="116B4EB5" w14:textId="77777777" w:rsidR="001A2B8A" w:rsidRPr="00C433C7" w:rsidRDefault="001A2B8A" w:rsidP="001A2B8A">
      <w:pPr>
        <w:numPr>
          <w:ilvl w:val="2"/>
          <w:numId w:val="6"/>
        </w:numPr>
        <w:spacing w:line="240" w:lineRule="atLeast"/>
        <w:ind w:left="1434" w:hanging="357"/>
        <w:jc w:val="both"/>
        <w:rPr>
          <w:rFonts w:ascii="Calibri" w:hAnsi="Calibri" w:cs="Calibri"/>
          <w:sz w:val="22"/>
          <w:szCs w:val="22"/>
        </w:rPr>
      </w:pPr>
      <w:r w:rsidRPr="00C433C7">
        <w:rPr>
          <w:rFonts w:ascii="Calibri" w:hAnsi="Calibri" w:cs="Calibri"/>
          <w:sz w:val="22"/>
          <w:szCs w:val="22"/>
        </w:rPr>
        <w:t>Instructor observations, logs, or interviews noting engagement and challenges.</w:t>
      </w:r>
    </w:p>
    <w:p w14:paraId="5CB721E3" w14:textId="77777777" w:rsidR="001A2B8A" w:rsidRPr="00C433C7" w:rsidRDefault="001A2B8A" w:rsidP="001A2B8A">
      <w:pPr>
        <w:numPr>
          <w:ilvl w:val="0"/>
          <w:numId w:val="12"/>
        </w:numPr>
        <w:spacing w:line="240" w:lineRule="atLeast"/>
        <w:jc w:val="both"/>
        <w:rPr>
          <w:rFonts w:ascii="Calibri" w:hAnsi="Calibri" w:cs="Calibri"/>
          <w:sz w:val="22"/>
          <w:szCs w:val="22"/>
        </w:rPr>
      </w:pPr>
      <w:r w:rsidRPr="00C433C7">
        <w:rPr>
          <w:rFonts w:ascii="Calibri" w:hAnsi="Calibri" w:cs="Calibri"/>
          <w:sz w:val="22"/>
          <w:szCs w:val="22"/>
        </w:rPr>
        <w:t>Examples include noting frequency of voluntary collaboration or analysis of reflective writings regarding problem-solving strategies.</w:t>
      </w:r>
    </w:p>
    <w:p w14:paraId="789BDAC7" w14:textId="77777777" w:rsidR="001A2B8A" w:rsidRPr="00C433C7" w:rsidRDefault="001A2B8A" w:rsidP="001A2B8A">
      <w:pPr>
        <w:pStyle w:val="ListParagraph"/>
        <w:numPr>
          <w:ilvl w:val="0"/>
          <w:numId w:val="11"/>
        </w:numPr>
        <w:jc w:val="both"/>
        <w:rPr>
          <w:rFonts w:ascii="Calibri" w:hAnsi="Calibri" w:cs="Calibri"/>
          <w:sz w:val="22"/>
          <w:szCs w:val="22"/>
        </w:rPr>
      </w:pPr>
      <w:r w:rsidRPr="00C433C7">
        <w:rPr>
          <w:rFonts w:ascii="Calibri" w:hAnsi="Calibri" w:cs="Calibri"/>
          <w:b/>
          <w:bCs/>
          <w:sz w:val="22"/>
          <w:szCs w:val="22"/>
        </w:rPr>
        <w:lastRenderedPageBreak/>
        <w:t>Standardized Engagement Surveys and Metrics:</w:t>
      </w:r>
    </w:p>
    <w:p w14:paraId="0E24F1EB" w14:textId="77777777" w:rsidR="001A2B8A" w:rsidRPr="00C433C7" w:rsidRDefault="001A2B8A" w:rsidP="001A2B8A">
      <w:pPr>
        <w:numPr>
          <w:ilvl w:val="0"/>
          <w:numId w:val="13"/>
        </w:numPr>
        <w:spacing w:line="240" w:lineRule="atLeast"/>
        <w:ind w:left="1077" w:hanging="357"/>
        <w:jc w:val="both"/>
        <w:rPr>
          <w:rFonts w:ascii="Calibri" w:hAnsi="Calibri" w:cs="Calibri"/>
          <w:sz w:val="22"/>
          <w:szCs w:val="22"/>
        </w:rPr>
      </w:pPr>
      <w:r w:rsidRPr="00C433C7">
        <w:rPr>
          <w:rFonts w:ascii="Calibri" w:hAnsi="Calibri" w:cs="Calibri"/>
          <w:sz w:val="22"/>
          <w:szCs w:val="22"/>
        </w:rPr>
        <w:t>Utilize validated engagement surveys capturing behavioural, emotional, and cognitive dimensions of engagement.</w:t>
      </w:r>
    </w:p>
    <w:p w14:paraId="3A616DF5" w14:textId="77777777" w:rsidR="001A2B8A" w:rsidRPr="00C433C7" w:rsidRDefault="001A2B8A" w:rsidP="001A2B8A">
      <w:pPr>
        <w:numPr>
          <w:ilvl w:val="0"/>
          <w:numId w:val="13"/>
        </w:numPr>
        <w:spacing w:line="240" w:lineRule="atLeast"/>
        <w:ind w:left="1077" w:hanging="357"/>
        <w:jc w:val="both"/>
        <w:rPr>
          <w:rFonts w:ascii="Calibri" w:hAnsi="Calibri" w:cs="Calibri"/>
          <w:sz w:val="22"/>
          <w:szCs w:val="22"/>
        </w:rPr>
      </w:pPr>
      <w:r w:rsidRPr="00C433C7">
        <w:rPr>
          <w:rFonts w:ascii="Calibri" w:hAnsi="Calibri" w:cs="Calibri"/>
          <w:sz w:val="22"/>
          <w:szCs w:val="22"/>
        </w:rPr>
        <w:t>Examples include the Student Engagement Questionnaire or appropriately adapted survey instruments.</w:t>
      </w:r>
    </w:p>
    <w:p w14:paraId="46C42293" w14:textId="77777777" w:rsidR="001A2B8A" w:rsidRPr="00C433C7" w:rsidRDefault="001A2B8A" w:rsidP="001A2B8A">
      <w:pPr>
        <w:numPr>
          <w:ilvl w:val="0"/>
          <w:numId w:val="13"/>
        </w:numPr>
        <w:spacing w:line="240" w:lineRule="atLeast"/>
        <w:ind w:left="1077" w:hanging="357"/>
        <w:jc w:val="both"/>
        <w:rPr>
          <w:rFonts w:ascii="Calibri" w:hAnsi="Calibri" w:cs="Calibri"/>
          <w:sz w:val="22"/>
          <w:szCs w:val="22"/>
        </w:rPr>
      </w:pPr>
      <w:r w:rsidRPr="00C433C7">
        <w:rPr>
          <w:rFonts w:ascii="Calibri" w:hAnsi="Calibri" w:cs="Calibri"/>
          <w:sz w:val="22"/>
          <w:szCs w:val="22"/>
        </w:rPr>
        <w:t>All participating institutions must agree on standardized instruments to maintain consistency and validity of data.</w:t>
      </w:r>
    </w:p>
    <w:p w14:paraId="6D6F41AF" w14:textId="77777777" w:rsidR="001A2B8A" w:rsidRPr="00C433C7" w:rsidRDefault="001A2B8A" w:rsidP="001A2B8A">
      <w:pPr>
        <w:pStyle w:val="ListParagraph"/>
        <w:numPr>
          <w:ilvl w:val="0"/>
          <w:numId w:val="11"/>
        </w:numPr>
        <w:jc w:val="both"/>
        <w:rPr>
          <w:rFonts w:ascii="Calibri" w:hAnsi="Calibri" w:cs="Calibri"/>
          <w:sz w:val="22"/>
          <w:szCs w:val="22"/>
        </w:rPr>
      </w:pPr>
      <w:r w:rsidRPr="00C433C7">
        <w:rPr>
          <w:rFonts w:ascii="Calibri" w:hAnsi="Calibri" w:cs="Calibri"/>
          <w:b/>
          <w:bCs/>
          <w:sz w:val="22"/>
          <w:szCs w:val="22"/>
        </w:rPr>
        <w:t>Data Triangulation and Interpretation:</w:t>
      </w:r>
    </w:p>
    <w:p w14:paraId="6037C012" w14:textId="77777777" w:rsidR="001A2B8A" w:rsidRPr="00C433C7" w:rsidRDefault="001A2B8A" w:rsidP="001A2B8A">
      <w:pPr>
        <w:numPr>
          <w:ilvl w:val="0"/>
          <w:numId w:val="14"/>
        </w:numPr>
        <w:spacing w:line="240" w:lineRule="atLeast"/>
        <w:ind w:left="1077" w:hanging="357"/>
        <w:jc w:val="both"/>
        <w:rPr>
          <w:rFonts w:ascii="Calibri" w:hAnsi="Calibri" w:cs="Calibri"/>
          <w:sz w:val="22"/>
          <w:szCs w:val="22"/>
        </w:rPr>
      </w:pPr>
      <w:r w:rsidRPr="00C433C7">
        <w:rPr>
          <w:rFonts w:ascii="Calibri" w:hAnsi="Calibri" w:cs="Calibri"/>
          <w:sz w:val="22"/>
          <w:szCs w:val="22"/>
        </w:rPr>
        <w:t>Integrate quantitative test scores with qualitative insights from surveys, observations, and reflections.</w:t>
      </w:r>
    </w:p>
    <w:p w14:paraId="55D06926" w14:textId="77777777" w:rsidR="001A2B8A" w:rsidRPr="00C433C7" w:rsidRDefault="001A2B8A" w:rsidP="001A2B8A">
      <w:pPr>
        <w:numPr>
          <w:ilvl w:val="0"/>
          <w:numId w:val="14"/>
        </w:numPr>
        <w:spacing w:line="240" w:lineRule="atLeast"/>
        <w:ind w:left="1077" w:hanging="357"/>
        <w:jc w:val="both"/>
        <w:rPr>
          <w:rFonts w:ascii="Calibri" w:hAnsi="Calibri" w:cs="Calibri"/>
          <w:sz w:val="22"/>
          <w:szCs w:val="22"/>
        </w:rPr>
      </w:pPr>
      <w:r w:rsidRPr="00C433C7">
        <w:rPr>
          <w:rFonts w:ascii="Calibri" w:hAnsi="Calibri" w:cs="Calibri"/>
          <w:sz w:val="22"/>
          <w:szCs w:val="22"/>
        </w:rPr>
        <w:t>Ensure triangulated data analysis to robustly evidence the effectiveness of the intervention.</w:t>
      </w:r>
    </w:p>
    <w:p w14:paraId="375EC540" w14:textId="77777777" w:rsidR="001A2B8A" w:rsidRPr="00C433C7" w:rsidRDefault="001A2B8A" w:rsidP="001A2B8A">
      <w:pPr>
        <w:pStyle w:val="ListParagraph"/>
        <w:numPr>
          <w:ilvl w:val="0"/>
          <w:numId w:val="11"/>
        </w:numPr>
        <w:jc w:val="both"/>
        <w:rPr>
          <w:rFonts w:ascii="Calibri" w:hAnsi="Calibri" w:cs="Calibri"/>
          <w:sz w:val="22"/>
          <w:szCs w:val="22"/>
        </w:rPr>
      </w:pPr>
      <w:r w:rsidRPr="00C433C7">
        <w:rPr>
          <w:rFonts w:ascii="Calibri" w:hAnsi="Calibri" w:cs="Calibri"/>
          <w:b/>
          <w:bCs/>
          <w:sz w:val="22"/>
          <w:szCs w:val="22"/>
        </w:rPr>
        <w:t>Ethical Considerations and Data Management:</w:t>
      </w:r>
    </w:p>
    <w:p w14:paraId="49C1F80C" w14:textId="77777777" w:rsidR="001A2B8A" w:rsidRPr="00C433C7" w:rsidRDefault="001A2B8A" w:rsidP="001A2B8A">
      <w:pPr>
        <w:numPr>
          <w:ilvl w:val="0"/>
          <w:numId w:val="15"/>
        </w:numPr>
        <w:spacing w:line="240" w:lineRule="atLeast"/>
        <w:ind w:left="1077" w:hanging="357"/>
        <w:jc w:val="both"/>
        <w:rPr>
          <w:rFonts w:ascii="Calibri" w:hAnsi="Calibri" w:cs="Calibri"/>
          <w:sz w:val="22"/>
          <w:szCs w:val="22"/>
        </w:rPr>
      </w:pPr>
      <w:r w:rsidRPr="00C433C7">
        <w:rPr>
          <w:rFonts w:ascii="Calibri" w:hAnsi="Calibri" w:cs="Calibri"/>
          <w:sz w:val="22"/>
          <w:szCs w:val="22"/>
        </w:rPr>
        <w:t>Adhere strictly to ethical guidelines, including informed consent, confidentiality, and secure data handling.</w:t>
      </w:r>
    </w:p>
    <w:p w14:paraId="3155CF5C" w14:textId="77777777" w:rsidR="001A2B8A" w:rsidRPr="00C433C7" w:rsidRDefault="001A2B8A" w:rsidP="001A2B8A">
      <w:pPr>
        <w:numPr>
          <w:ilvl w:val="0"/>
          <w:numId w:val="15"/>
        </w:numPr>
        <w:spacing w:line="240" w:lineRule="atLeast"/>
        <w:ind w:left="1077" w:hanging="357"/>
        <w:jc w:val="both"/>
        <w:rPr>
          <w:rFonts w:ascii="Calibri" w:hAnsi="Calibri" w:cs="Calibri"/>
          <w:sz w:val="22"/>
          <w:szCs w:val="22"/>
        </w:rPr>
      </w:pPr>
      <w:r w:rsidRPr="00C433C7">
        <w:rPr>
          <w:rFonts w:ascii="Calibri" w:hAnsi="Calibri" w:cs="Calibri"/>
          <w:sz w:val="22"/>
          <w:szCs w:val="22"/>
        </w:rPr>
        <w:t>Obtain necessary local ethics approvals prior to data collection activities.</w:t>
      </w:r>
    </w:p>
    <w:p w14:paraId="4400BE95" w14:textId="77777777" w:rsidR="001A2B8A" w:rsidRPr="00C433C7" w:rsidRDefault="001A2B8A" w:rsidP="001A2B8A">
      <w:pPr>
        <w:pStyle w:val="ListParagraph"/>
        <w:numPr>
          <w:ilvl w:val="1"/>
          <w:numId w:val="1"/>
        </w:numPr>
        <w:spacing w:before="240"/>
        <w:ind w:left="720"/>
        <w:rPr>
          <w:rFonts w:ascii="Calibri" w:hAnsi="Calibri" w:cs="Calibri"/>
          <w:b/>
          <w:bCs/>
          <w:sz w:val="22"/>
          <w:szCs w:val="22"/>
        </w:rPr>
      </w:pPr>
      <w:r w:rsidRPr="00C433C7">
        <w:rPr>
          <w:rFonts w:ascii="Calibri" w:hAnsi="Calibri" w:cs="Calibri"/>
          <w:b/>
          <w:bCs/>
          <w:sz w:val="22"/>
          <w:szCs w:val="22"/>
        </w:rPr>
        <w:t>Data Collection</w:t>
      </w:r>
    </w:p>
    <w:p w14:paraId="6B9C42E0" w14:textId="77777777" w:rsidR="001A2B8A" w:rsidRPr="00C433C7" w:rsidRDefault="001A2B8A" w:rsidP="001A2B8A">
      <w:pPr>
        <w:numPr>
          <w:ilvl w:val="0"/>
          <w:numId w:val="3"/>
        </w:numPr>
        <w:spacing w:line="240" w:lineRule="atLeast"/>
        <w:ind w:left="714" w:hanging="357"/>
        <w:jc w:val="both"/>
        <w:rPr>
          <w:rFonts w:ascii="Calibri" w:hAnsi="Calibri" w:cs="Calibri"/>
          <w:sz w:val="22"/>
          <w:szCs w:val="22"/>
        </w:rPr>
      </w:pPr>
      <w:r w:rsidRPr="00C433C7">
        <w:rPr>
          <w:rFonts w:ascii="Calibri" w:hAnsi="Calibri" w:cs="Calibri"/>
          <w:sz w:val="22"/>
          <w:szCs w:val="22"/>
        </w:rPr>
        <w:t>Pre- and post-activity conceptual assessments</w:t>
      </w:r>
    </w:p>
    <w:p w14:paraId="64BE8907" w14:textId="77777777" w:rsidR="001A2B8A" w:rsidRPr="00C433C7" w:rsidRDefault="001A2B8A" w:rsidP="001A2B8A">
      <w:pPr>
        <w:numPr>
          <w:ilvl w:val="0"/>
          <w:numId w:val="3"/>
        </w:numPr>
        <w:spacing w:line="240" w:lineRule="atLeast"/>
        <w:ind w:left="714" w:hanging="357"/>
        <w:jc w:val="both"/>
        <w:rPr>
          <w:rFonts w:ascii="Calibri" w:hAnsi="Calibri" w:cs="Calibri"/>
          <w:sz w:val="22"/>
          <w:szCs w:val="22"/>
        </w:rPr>
      </w:pPr>
      <w:r w:rsidRPr="00C433C7">
        <w:rPr>
          <w:rFonts w:ascii="Calibri" w:hAnsi="Calibri" w:cs="Calibri"/>
          <w:sz w:val="22"/>
          <w:szCs w:val="22"/>
        </w:rPr>
        <w:t>Student engagement and perception surveys</w:t>
      </w:r>
    </w:p>
    <w:p w14:paraId="7C9BC2E8" w14:textId="77777777" w:rsidR="001A2B8A" w:rsidRPr="00C433C7" w:rsidRDefault="001A2B8A" w:rsidP="001A2B8A">
      <w:pPr>
        <w:numPr>
          <w:ilvl w:val="0"/>
          <w:numId w:val="3"/>
        </w:numPr>
        <w:spacing w:line="240" w:lineRule="atLeast"/>
        <w:ind w:left="714" w:hanging="357"/>
        <w:jc w:val="both"/>
        <w:rPr>
          <w:rFonts w:ascii="Calibri" w:hAnsi="Calibri" w:cs="Calibri"/>
          <w:sz w:val="22"/>
          <w:szCs w:val="22"/>
        </w:rPr>
      </w:pPr>
      <w:r w:rsidRPr="00C433C7">
        <w:rPr>
          <w:rFonts w:ascii="Calibri" w:hAnsi="Calibri" w:cs="Calibri"/>
          <w:sz w:val="22"/>
          <w:szCs w:val="22"/>
        </w:rPr>
        <w:t>Performance metrics aligned with course assessments</w:t>
      </w:r>
    </w:p>
    <w:p w14:paraId="7E9137A9" w14:textId="77777777" w:rsidR="001A2B8A" w:rsidRPr="00C433C7" w:rsidRDefault="001A2B8A" w:rsidP="001A2B8A">
      <w:pPr>
        <w:numPr>
          <w:ilvl w:val="0"/>
          <w:numId w:val="3"/>
        </w:numPr>
        <w:spacing w:line="240" w:lineRule="atLeast"/>
        <w:ind w:left="714" w:hanging="357"/>
        <w:jc w:val="both"/>
        <w:rPr>
          <w:rFonts w:ascii="Calibri" w:hAnsi="Calibri" w:cs="Calibri"/>
          <w:sz w:val="22"/>
          <w:szCs w:val="22"/>
        </w:rPr>
      </w:pPr>
      <w:r w:rsidRPr="00C433C7">
        <w:rPr>
          <w:rFonts w:ascii="Calibri" w:hAnsi="Calibri" w:cs="Calibri"/>
          <w:sz w:val="22"/>
          <w:szCs w:val="22"/>
        </w:rPr>
        <w:t>Structured educator reflections and interviews post-implementation</w:t>
      </w:r>
    </w:p>
    <w:p w14:paraId="4EEC229F" w14:textId="77777777" w:rsidR="001A2B8A" w:rsidRDefault="001A2B8A"/>
    <w:sectPr w:rsidR="001A2B8A" w:rsidSect="00DA3E64">
      <w:pgSz w:w="11906" w:h="16838"/>
      <w:pgMar w:top="1134" w:right="1077" w:bottom="1134"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D1907"/>
    <w:multiLevelType w:val="hybridMultilevel"/>
    <w:tmpl w:val="A3380DF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241927"/>
    <w:multiLevelType w:val="multilevel"/>
    <w:tmpl w:val="FDF09A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7E67ACB"/>
    <w:multiLevelType w:val="multilevel"/>
    <w:tmpl w:val="2E98C284"/>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530597"/>
    <w:multiLevelType w:val="multilevel"/>
    <w:tmpl w:val="27506EA6"/>
    <w:lvl w:ilvl="0">
      <w:start w:val="1"/>
      <w:numFmt w:val="lowerLetter"/>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D5C7D65"/>
    <w:multiLevelType w:val="multilevel"/>
    <w:tmpl w:val="27506EA6"/>
    <w:lvl w:ilvl="0">
      <w:start w:val="1"/>
      <w:numFmt w:val="lowerLetter"/>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25D06E4"/>
    <w:multiLevelType w:val="hybridMultilevel"/>
    <w:tmpl w:val="34923E24"/>
    <w:lvl w:ilvl="0" w:tplc="08090017">
      <w:start w:val="1"/>
      <w:numFmt w:val="lowerLetter"/>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13A2D65"/>
    <w:multiLevelType w:val="multilevel"/>
    <w:tmpl w:val="6330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A032E6"/>
    <w:multiLevelType w:val="multilevel"/>
    <w:tmpl w:val="27506EA6"/>
    <w:lvl w:ilvl="0">
      <w:start w:val="1"/>
      <w:numFmt w:val="lowerLetter"/>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BE90D3C"/>
    <w:multiLevelType w:val="multilevel"/>
    <w:tmpl w:val="D3DEA44E"/>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C7E25DC"/>
    <w:multiLevelType w:val="multilevel"/>
    <w:tmpl w:val="27506EA6"/>
    <w:lvl w:ilvl="0">
      <w:start w:val="1"/>
      <w:numFmt w:val="lowerLetter"/>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62C27CE9"/>
    <w:multiLevelType w:val="multilevel"/>
    <w:tmpl w:val="4C6A0B90"/>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452C92"/>
    <w:multiLevelType w:val="multilevel"/>
    <w:tmpl w:val="2E98C284"/>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9F5C2E"/>
    <w:multiLevelType w:val="multilevel"/>
    <w:tmpl w:val="27506EA6"/>
    <w:lvl w:ilvl="0">
      <w:start w:val="1"/>
      <w:numFmt w:val="lowerLetter"/>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7E9146AD"/>
    <w:multiLevelType w:val="multilevel"/>
    <w:tmpl w:val="3DCE7C64"/>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1A5FB5"/>
    <w:multiLevelType w:val="multilevel"/>
    <w:tmpl w:val="2E98C284"/>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459508">
    <w:abstractNumId w:val="1"/>
  </w:num>
  <w:num w:numId="2" w16cid:durableId="397558223">
    <w:abstractNumId w:val="8"/>
  </w:num>
  <w:num w:numId="3" w16cid:durableId="1347708248">
    <w:abstractNumId w:val="6"/>
  </w:num>
  <w:num w:numId="4" w16cid:durableId="2008707491">
    <w:abstractNumId w:val="13"/>
  </w:num>
  <w:num w:numId="5" w16cid:durableId="1662418441">
    <w:abstractNumId w:val="9"/>
  </w:num>
  <w:num w:numId="6" w16cid:durableId="962881110">
    <w:abstractNumId w:val="10"/>
  </w:num>
  <w:num w:numId="7" w16cid:durableId="1670332457">
    <w:abstractNumId w:val="14"/>
  </w:num>
  <w:num w:numId="8" w16cid:durableId="305933327">
    <w:abstractNumId w:val="11"/>
  </w:num>
  <w:num w:numId="9" w16cid:durableId="217667586">
    <w:abstractNumId w:val="2"/>
  </w:num>
  <w:num w:numId="10" w16cid:durableId="2104254270">
    <w:abstractNumId w:val="5"/>
  </w:num>
  <w:num w:numId="11" w16cid:durableId="1432041992">
    <w:abstractNumId w:val="0"/>
  </w:num>
  <w:num w:numId="12" w16cid:durableId="735399755">
    <w:abstractNumId w:val="3"/>
  </w:num>
  <w:num w:numId="13" w16cid:durableId="1772771829">
    <w:abstractNumId w:val="7"/>
  </w:num>
  <w:num w:numId="14" w16cid:durableId="338316783">
    <w:abstractNumId w:val="12"/>
  </w:num>
  <w:num w:numId="15" w16cid:durableId="17328489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3BB"/>
    <w:rsid w:val="001A2B8A"/>
    <w:rsid w:val="00636C77"/>
    <w:rsid w:val="008E50EF"/>
    <w:rsid w:val="009F36DD"/>
    <w:rsid w:val="00B4374E"/>
    <w:rsid w:val="00C843BB"/>
    <w:rsid w:val="00DA3E6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C7E93"/>
  <w15:chartTrackingRefBased/>
  <w15:docId w15:val="{D628F6E6-B3FF-4D48-9C56-D4096583B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3BB"/>
  </w:style>
  <w:style w:type="paragraph" w:styleId="Heading1">
    <w:name w:val="heading 1"/>
    <w:basedOn w:val="Normal"/>
    <w:next w:val="Normal"/>
    <w:link w:val="Heading1Char"/>
    <w:uiPriority w:val="9"/>
    <w:qFormat/>
    <w:rsid w:val="00C843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43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43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43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43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43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3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3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3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3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43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43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43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43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43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3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3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3BB"/>
    <w:rPr>
      <w:rFonts w:eastAsiaTheme="majorEastAsia" w:cstheme="majorBidi"/>
      <w:color w:val="272727" w:themeColor="text1" w:themeTint="D8"/>
    </w:rPr>
  </w:style>
  <w:style w:type="paragraph" w:styleId="Title">
    <w:name w:val="Title"/>
    <w:basedOn w:val="Normal"/>
    <w:next w:val="Normal"/>
    <w:link w:val="TitleChar"/>
    <w:uiPriority w:val="10"/>
    <w:qFormat/>
    <w:rsid w:val="00C843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3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3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3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3BB"/>
    <w:pPr>
      <w:spacing w:before="160"/>
      <w:jc w:val="center"/>
    </w:pPr>
    <w:rPr>
      <w:i/>
      <w:iCs/>
      <w:color w:val="404040" w:themeColor="text1" w:themeTint="BF"/>
    </w:rPr>
  </w:style>
  <w:style w:type="character" w:customStyle="1" w:styleId="QuoteChar">
    <w:name w:val="Quote Char"/>
    <w:basedOn w:val="DefaultParagraphFont"/>
    <w:link w:val="Quote"/>
    <w:uiPriority w:val="29"/>
    <w:rsid w:val="00C843BB"/>
    <w:rPr>
      <w:i/>
      <w:iCs/>
      <w:color w:val="404040" w:themeColor="text1" w:themeTint="BF"/>
    </w:rPr>
  </w:style>
  <w:style w:type="paragraph" w:styleId="ListParagraph">
    <w:name w:val="List Paragraph"/>
    <w:basedOn w:val="Normal"/>
    <w:uiPriority w:val="34"/>
    <w:qFormat/>
    <w:rsid w:val="00C843BB"/>
    <w:pPr>
      <w:ind w:left="720"/>
      <w:contextualSpacing/>
    </w:pPr>
  </w:style>
  <w:style w:type="character" w:styleId="IntenseEmphasis">
    <w:name w:val="Intense Emphasis"/>
    <w:basedOn w:val="DefaultParagraphFont"/>
    <w:uiPriority w:val="21"/>
    <w:qFormat/>
    <w:rsid w:val="00C843BB"/>
    <w:rPr>
      <w:i/>
      <w:iCs/>
      <w:color w:val="0F4761" w:themeColor="accent1" w:themeShade="BF"/>
    </w:rPr>
  </w:style>
  <w:style w:type="paragraph" w:styleId="IntenseQuote">
    <w:name w:val="Intense Quote"/>
    <w:basedOn w:val="Normal"/>
    <w:next w:val="Normal"/>
    <w:link w:val="IntenseQuoteChar"/>
    <w:uiPriority w:val="30"/>
    <w:qFormat/>
    <w:rsid w:val="00C843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43BB"/>
    <w:rPr>
      <w:i/>
      <w:iCs/>
      <w:color w:val="0F4761" w:themeColor="accent1" w:themeShade="BF"/>
    </w:rPr>
  </w:style>
  <w:style w:type="character" w:styleId="IntenseReference">
    <w:name w:val="Intense Reference"/>
    <w:basedOn w:val="DefaultParagraphFont"/>
    <w:uiPriority w:val="32"/>
    <w:qFormat/>
    <w:rsid w:val="00C843BB"/>
    <w:rPr>
      <w:b/>
      <w:bCs/>
      <w:smallCaps/>
      <w:color w:val="0F4761" w:themeColor="accent1" w:themeShade="BF"/>
      <w:spacing w:val="5"/>
    </w:rPr>
  </w:style>
  <w:style w:type="table" w:styleId="TableGrid">
    <w:name w:val="Table Grid"/>
    <w:basedOn w:val="TableNormal"/>
    <w:uiPriority w:val="39"/>
    <w:rsid w:val="00B4374E"/>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F10F6-C69A-4060-9C8C-CC9F706F4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Mohammed</dc:creator>
  <cp:keywords/>
  <dc:description/>
  <cp:lastModifiedBy>Marwan Mohammed</cp:lastModifiedBy>
  <cp:revision>3</cp:revision>
  <dcterms:created xsi:type="dcterms:W3CDTF">2025-08-08T00:20:00Z</dcterms:created>
  <dcterms:modified xsi:type="dcterms:W3CDTF">2025-08-25T15:18:00Z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