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 w:lang="zh-TW">
          <w:sz w:val="28"/>
        </w:rPr>
        <w:t>未指定字型：測試中文顯示，藝術總監的話。</w:t>
      </w:r>
    </w:p>
    <w:p>
      <w:r>
        <w:rPr w:lang="zh-TW">
          <w:rFonts w:ascii="Arial Unicode MS" w:hAnsi="Arial Unicode MS" w:eastAsia="Arial Unicode MS"/>
          <w:sz w:val="28"/>
        </w:rPr>
        <w:t>Arial Unicode MS：測試中文顯示，藝術總監的話。</w:t>
      </w:r>
    </w:p>
    <w:p>
      <w:r>
        <w:rPr w:lang="zh-TW">
          <w:rFonts w:ascii="PingFang TC" w:hAnsi="PingFang TC" w:eastAsia="PingFang TC"/>
          <w:sz w:val="28"/>
        </w:rPr>
        <w:t>PingFang TC：測試中文顯示，藝術總監的話。</w:t>
      </w:r>
    </w:p>
    <w:p>
      <w:r>
        <w:rPr w:lang="zh-TW">
          <w:rFonts w:ascii="STFangsong" w:hAnsi="STFangsong" w:eastAsia="STFangsong"/>
          <w:sz w:val="28"/>
        </w:rPr>
        <w:t>STFangsong：測試中文顯示，藝術總監的話。</w:t>
      </w:r>
    </w:p>
    <w:p>
      <w:r>
        <w:rPr w:lang="zh-TW">
          <w:rFonts w:ascii="LiSong Pro" w:hAnsi="LiSong Pro" w:eastAsia="LiSong Pro"/>
          <w:sz w:val="28"/>
        </w:rPr>
        <w:t>LiSong Pro：測試中文顯示，藝術總監的話。</w:t>
      </w:r>
    </w:p>
    <w:p>
      <w:r>
        <w:rPr w:lang="zh-TW">
          <w:rFonts w:ascii="Songti TC" w:hAnsi="Songti TC" w:eastAsia="Songti TC"/>
          <w:sz w:val="28"/>
        </w:rPr>
        <w:t>Songti TC：測試中文顯示，藝術總監的話。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