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7" w:rsidRDefault="00DE2537"/>
    <w:sdt>
      <w:sdtPr>
        <w:id w:val="-1832596844"/>
        <w:docPartObj>
          <w:docPartGallery w:val="Cover Pages"/>
          <w:docPartUnique/>
        </w:docPartObj>
      </w:sdtPr>
      <w:sdtEndPr>
        <w:rPr>
          <w:rFonts w:ascii="Felix Titling" w:hAnsi="Felix Titling"/>
          <w:sz w:val="24"/>
          <w:szCs w:val="24"/>
        </w:rPr>
      </w:sdtEndPr>
      <w:sdtContent>
        <w:p w:rsidR="00DE2537" w:rsidRDefault="00DE2537"/>
        <w:p w:rsidR="00DE2537" w:rsidRDefault="00DE2537"/>
        <w:tbl>
          <w:tblPr>
            <w:tblpPr w:leftFromText="187" w:rightFromText="187" w:vertAnchor="page" w:horzAnchor="margin" w:tblpXSpec="center" w:tblpY="2971"/>
            <w:tblW w:w="4015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15"/>
          </w:tblGrid>
          <w:tr w:rsidR="00DE2537" w:rsidTr="00DE2537">
            <w:tc>
              <w:tcPr>
                <w:tcW w:w="0" w:type="auto"/>
                <w:tcBorders>
                  <w:top w:val="single" w:sz="24" w:space="0" w:color="000000" w:themeColor="text1"/>
                  <w:bottom w:val="single" w:sz="24" w:space="0" w:color="000000" w:themeColor="text1"/>
                </w:tcBorders>
                <w:vAlign w:val="center"/>
              </w:tcPr>
              <w:p w:rsidR="00DE2537" w:rsidRPr="008B6BAC" w:rsidRDefault="00DE2537" w:rsidP="00DE2537">
                <w:pPr>
                  <w:pStyle w:val="Sinespaciado"/>
                  <w:spacing w:line="360" w:lineRule="auto"/>
                  <w:jc w:val="center"/>
                  <w:rPr>
                    <w:rFonts w:ascii="Felix Titling" w:eastAsiaTheme="majorEastAsia" w:hAnsi="Felix Titling" w:cstheme="majorBidi"/>
                    <w:b/>
                    <w:sz w:val="96"/>
                    <w:szCs w:val="96"/>
                  </w:rPr>
                </w:pPr>
              </w:p>
              <w:p w:rsidR="00DE2537" w:rsidRPr="008B6BAC" w:rsidRDefault="00B427BE" w:rsidP="00DE2537">
                <w:pPr>
                  <w:pStyle w:val="Sinespaciado"/>
                  <w:spacing w:line="360" w:lineRule="auto"/>
                  <w:jc w:val="center"/>
                  <w:rPr>
                    <w:rFonts w:ascii="Felix Titling" w:eastAsiaTheme="majorEastAsia" w:hAnsi="Felix Titling" w:cstheme="majorBidi"/>
                    <w:b/>
                    <w:sz w:val="96"/>
                    <w:szCs w:val="96"/>
                  </w:rPr>
                </w:pPr>
                <w:r w:rsidRPr="008B6BAC">
                  <w:rPr>
                    <w:rFonts w:ascii="Felix Titling" w:eastAsiaTheme="majorEastAsia" w:hAnsi="Felix Titling" w:cstheme="majorBidi"/>
                    <w:b/>
                    <w:sz w:val="96"/>
                    <w:szCs w:val="96"/>
                  </w:rPr>
                  <w:t>c</w:t>
                </w:r>
                <w:r w:rsidR="00D26180" w:rsidRPr="008B6BAC">
                  <w:rPr>
                    <w:rFonts w:ascii="Felix Titling" w:eastAsiaTheme="majorEastAsia" w:hAnsi="Felix Titling" w:cstheme="majorBidi"/>
                    <w:b/>
                    <w:sz w:val="96"/>
                    <w:szCs w:val="96"/>
                  </w:rPr>
                  <w:t>urrículum</w:t>
                </w:r>
                <w:r w:rsidR="00DE2537" w:rsidRPr="008B6BAC">
                  <w:rPr>
                    <w:rFonts w:ascii="Felix Titling" w:eastAsiaTheme="majorEastAsia" w:hAnsi="Felix Titling" w:cstheme="majorBidi"/>
                    <w:b/>
                    <w:sz w:val="96"/>
                    <w:szCs w:val="96"/>
                  </w:rPr>
                  <w:t xml:space="preserve"> VITAE</w:t>
                </w:r>
              </w:p>
              <w:p w:rsidR="00DE2537" w:rsidRPr="008B6BAC" w:rsidRDefault="00DE2537" w:rsidP="00DE2537">
                <w:pPr>
                  <w:pStyle w:val="Sinespaciado"/>
                  <w:spacing w:line="360" w:lineRule="auto"/>
                  <w:rPr>
                    <w:rFonts w:ascii="Felix Titling" w:eastAsiaTheme="majorEastAsia" w:hAnsi="Felix Titling" w:cstheme="majorBidi"/>
                    <w:b/>
                    <w:sz w:val="96"/>
                    <w:szCs w:val="96"/>
                  </w:rPr>
                </w:pPr>
              </w:p>
            </w:tc>
          </w:tr>
          <w:tr w:rsidR="00DE2537" w:rsidTr="00DE2537">
            <w:sdt>
              <w:sdtPr>
                <w:rPr>
                  <w:rFonts w:ascii="Felix Titling" w:hAnsi="Felix Titling"/>
                  <w:b/>
                  <w:sz w:val="52"/>
                  <w:szCs w:val="52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24" w:space="0" w:color="000000" w:themeColor="text1"/>
                      <w:bottom w:val="single" w:sz="24" w:space="0" w:color="000000" w:themeColor="text1"/>
                    </w:tcBorders>
                    <w:vAlign w:val="center"/>
                  </w:tcPr>
                  <w:p w:rsidR="00DE2537" w:rsidRPr="008B6BAC" w:rsidRDefault="00DE2537" w:rsidP="00DE2537">
                    <w:pPr>
                      <w:pStyle w:val="Sinespaciado"/>
                      <w:spacing w:line="360" w:lineRule="auto"/>
                      <w:jc w:val="center"/>
                      <w:rPr>
                        <w:rFonts w:ascii="Felix Titling" w:hAnsi="Felix Titling"/>
                        <w:sz w:val="96"/>
                        <w:szCs w:val="96"/>
                      </w:rPr>
                    </w:pPr>
                    <w:r w:rsidRPr="008B6BAC">
                      <w:rPr>
                        <w:rFonts w:ascii="Felix Titling" w:hAnsi="Felix Titling"/>
                        <w:b/>
                        <w:sz w:val="52"/>
                        <w:szCs w:val="52"/>
                      </w:rPr>
                      <w:t>DÍAZ SOFÍA</w:t>
                    </w:r>
                  </w:p>
                </w:tc>
              </w:sdtContent>
            </w:sdt>
          </w:tr>
        </w:tbl>
        <w:p w:rsidR="00DE2537" w:rsidRDefault="00DE2537"/>
        <w:p w:rsidR="00DE2537" w:rsidRDefault="00DE2537"/>
        <w:p w:rsidR="00DE2537" w:rsidRDefault="00DE2537">
          <w:pPr>
            <w:rPr>
              <w:rFonts w:ascii="Felix Titling" w:hAnsi="Felix Titling"/>
              <w:sz w:val="24"/>
              <w:szCs w:val="24"/>
            </w:rPr>
          </w:pPr>
          <w:bookmarkStart w:id="0" w:name="_GoBack"/>
          <w:bookmarkEnd w:id="0"/>
          <w:r>
            <w:rPr>
              <w:rFonts w:ascii="Felix Titling" w:hAnsi="Felix Titling"/>
              <w:sz w:val="24"/>
              <w:szCs w:val="24"/>
            </w:rPr>
            <w:br w:type="page"/>
          </w:r>
        </w:p>
      </w:sdtContent>
    </w:sdt>
    <w:p w:rsidR="00DE2537" w:rsidRDefault="00DE2537"/>
    <w:tbl>
      <w:tblPr>
        <w:tblStyle w:val="Tablaconcuadrcula"/>
        <w:tblW w:w="907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0"/>
      </w:tblGrid>
      <w:tr w:rsidR="00D93B4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D661E8" w:rsidRPr="00D93B4D" w:rsidRDefault="00D93B4D" w:rsidP="00DE2537">
            <w:pPr>
              <w:spacing w:line="360" w:lineRule="auto"/>
              <w:jc w:val="center"/>
              <w:rPr>
                <w:rFonts w:ascii="Felix Titling" w:hAnsi="Felix Titling"/>
                <w:b/>
                <w:sz w:val="24"/>
                <w:szCs w:val="24"/>
              </w:rPr>
            </w:pPr>
            <w:r>
              <w:rPr>
                <w:rFonts w:ascii="Felix Titling" w:hAnsi="Felix Titling"/>
                <w:b/>
                <w:sz w:val="24"/>
                <w:szCs w:val="24"/>
              </w:rPr>
              <w:t>C</w:t>
            </w:r>
            <w:r w:rsidRPr="00D93B4D">
              <w:rPr>
                <w:rFonts w:ascii="Felix Titling" w:hAnsi="Felix Titling"/>
                <w:b/>
                <w:sz w:val="24"/>
                <w:szCs w:val="24"/>
              </w:rPr>
              <w:t>URRICULUM VITAE</w:t>
            </w:r>
            <w:r w:rsidR="00D661E8">
              <w:rPr>
                <w:rFonts w:ascii="Felix Titling" w:hAnsi="Felix Titling"/>
                <w:b/>
                <w:sz w:val="24"/>
                <w:szCs w:val="24"/>
              </w:rPr>
              <w:t xml:space="preserve"> </w:t>
            </w:r>
            <w:r w:rsidR="00D661E8">
              <w:rPr>
                <w:rFonts w:ascii="Felix Titling" w:hAnsi="Felix Titling"/>
                <w:b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4C6CC1AE" wp14:editId="034F094E">
                  <wp:extent cx="752475" cy="5143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:rsidR="00D93B4D" w:rsidRPr="00D93B4D" w:rsidRDefault="00D93B4D" w:rsidP="00D93B4D">
            <w:pPr>
              <w:spacing w:line="360" w:lineRule="auto"/>
              <w:rPr>
                <w:rFonts w:ascii="Felix Titling" w:hAnsi="Felix Titling"/>
                <w:sz w:val="24"/>
                <w:szCs w:val="24"/>
              </w:rPr>
            </w:pPr>
          </w:p>
        </w:tc>
      </w:tr>
      <w:tr w:rsidR="00D93B4D" w:rsidRPr="00D93B4D" w:rsidTr="00D661E8">
        <w:tc>
          <w:tcPr>
            <w:tcW w:w="3403" w:type="dxa"/>
            <w:tcBorders>
              <w:bottom w:val="single" w:sz="12" w:space="0" w:color="FFFFFF" w:themeColor="background1"/>
              <w:right w:val="single" w:sz="12" w:space="0" w:color="auto"/>
            </w:tcBorders>
            <w:vAlign w:val="center"/>
          </w:tcPr>
          <w:p w:rsidR="00D93B4D" w:rsidRDefault="00D93B4D" w:rsidP="009E0EAC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</w:p>
          <w:p w:rsidR="00D93B4D" w:rsidRPr="00D93B4D" w:rsidRDefault="00B427BE" w:rsidP="009E0EAC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  <w:r w:rsidRPr="00D93B4D">
              <w:rPr>
                <w:rFonts w:ascii="Felix Titling" w:hAnsi="Felix Titling"/>
                <w:b/>
                <w:sz w:val="24"/>
                <w:szCs w:val="24"/>
              </w:rPr>
              <w:t>INFORMACIÓN</w:t>
            </w:r>
            <w:r w:rsidR="00D93B4D" w:rsidRPr="00D93B4D">
              <w:rPr>
                <w:rFonts w:ascii="Felix Titling" w:hAnsi="Felix Titling"/>
                <w:b/>
                <w:sz w:val="24"/>
                <w:szCs w:val="24"/>
              </w:rPr>
              <w:t xml:space="preserve"> PERSONAL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FFFFFF" w:themeColor="background1"/>
            </w:tcBorders>
          </w:tcPr>
          <w:p w:rsidR="00D93B4D" w:rsidRPr="00D93B4D" w:rsidRDefault="00D93B4D" w:rsidP="00D93B4D">
            <w:pPr>
              <w:spacing w:line="360" w:lineRule="auto"/>
              <w:rPr>
                <w:rFonts w:ascii="Felix Titling" w:hAnsi="Felix Titling"/>
                <w:sz w:val="24"/>
                <w:szCs w:val="24"/>
              </w:rPr>
            </w:pPr>
          </w:p>
        </w:tc>
      </w:tr>
      <w:tr w:rsidR="009946E1" w:rsidRPr="009946E1" w:rsidTr="00D661E8">
        <w:trPr>
          <w:trHeight w:val="302"/>
        </w:trPr>
        <w:tc>
          <w:tcPr>
            <w:tcW w:w="3403" w:type="dxa"/>
            <w:tcBorders>
              <w:top w:val="single" w:sz="12" w:space="0" w:color="FFFFFF" w:themeColor="background1"/>
              <w:right w:val="single" w:sz="12" w:space="0" w:color="auto"/>
            </w:tcBorders>
            <w:vAlign w:val="center"/>
          </w:tcPr>
          <w:p w:rsidR="009946E1" w:rsidRPr="009946E1" w:rsidRDefault="009946E1" w:rsidP="009946E1">
            <w:pPr>
              <w:jc w:val="right"/>
              <w:rPr>
                <w:rFonts w:ascii="Felix Titling" w:hAnsi="Felix Titling"/>
                <w:b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12" w:space="0" w:color="FFFFFF" w:themeColor="background1"/>
              <w:left w:val="single" w:sz="12" w:space="0" w:color="auto"/>
            </w:tcBorders>
          </w:tcPr>
          <w:p w:rsidR="009946E1" w:rsidRPr="009946E1" w:rsidRDefault="009946E1" w:rsidP="009946E1">
            <w:pPr>
              <w:rPr>
                <w:rFonts w:ascii="Felix Titling" w:hAnsi="Felix Titling"/>
                <w:sz w:val="16"/>
                <w:szCs w:val="16"/>
              </w:rPr>
            </w:pPr>
          </w:p>
        </w:tc>
      </w:tr>
      <w:tr w:rsidR="00D93B4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D93B4D" w:rsidRPr="009946E1" w:rsidRDefault="009946E1" w:rsidP="009E0EAC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>NOMBRE</w:t>
            </w:r>
            <w:r w:rsidR="00D26180">
              <w:rPr>
                <w:rFonts w:asciiTheme="majorHAnsi" w:hAnsiTheme="majorHAnsi"/>
                <w:b/>
                <w:sz w:val="24"/>
                <w:szCs w:val="24"/>
              </w:rPr>
              <w:t xml:space="preserve"> Y APELLIDO</w:t>
            </w: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D93B4D" w:rsidRPr="00D26180" w:rsidRDefault="00D93B4D" w:rsidP="009E0EAC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Díaz Sofía Adelaida.</w:t>
            </w:r>
          </w:p>
        </w:tc>
      </w:tr>
      <w:tr w:rsidR="00D93B4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D93B4D" w:rsidRPr="009946E1" w:rsidRDefault="009946E1" w:rsidP="009E0EAC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>DIRECCIÓN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D93B4D" w:rsidRPr="00D26180" w:rsidRDefault="009E0EAC" w:rsidP="009E0EAC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158 viviendas, san Antonio n° 16. Plaza Huincul. Neuquén.</w:t>
            </w:r>
          </w:p>
        </w:tc>
      </w:tr>
      <w:tr w:rsidR="006E16E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9946E1" w:rsidRDefault="00B427BE" w:rsidP="009E0EAC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DNI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9E0EAC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36.192.098.</w:t>
            </w:r>
          </w:p>
        </w:tc>
      </w:tr>
      <w:tr w:rsidR="006E16ED" w:rsidRPr="009946E1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9946E1" w:rsidRDefault="006E16ED" w:rsidP="00D36EC9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>NACIONALIDAD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36EC9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Argentina.</w:t>
            </w:r>
          </w:p>
        </w:tc>
      </w:tr>
      <w:tr w:rsidR="006E16ED" w:rsidRPr="009946E1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9946E1" w:rsidRDefault="006E16ED" w:rsidP="00D36EC9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>FECHA DE NACIMIENTO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36EC9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12 de enero de 1992.</w:t>
            </w:r>
          </w:p>
        </w:tc>
      </w:tr>
      <w:tr w:rsidR="006E16ED" w:rsidRPr="009946E1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9946E1" w:rsidRDefault="006E16ED" w:rsidP="00D36EC9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>ESTADO CIVIL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36EC9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Soltera.</w:t>
            </w:r>
          </w:p>
        </w:tc>
      </w:tr>
      <w:tr w:rsidR="006E16E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9946E1" w:rsidRDefault="006E16ED" w:rsidP="009E0EAC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>TELÉFONO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9E0EAC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(0299) 4965593. </w:t>
            </w:r>
          </w:p>
          <w:p w:rsidR="006E16ED" w:rsidRPr="00D26180" w:rsidRDefault="006E16ED" w:rsidP="009E0EAC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(0299) 154658043.</w:t>
            </w:r>
          </w:p>
        </w:tc>
      </w:tr>
      <w:tr w:rsidR="006E16E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9946E1" w:rsidRDefault="006E16ED" w:rsidP="009E0EAC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9946E1">
              <w:rPr>
                <w:rFonts w:asciiTheme="majorHAnsi" w:hAnsiTheme="majorHAnsi"/>
                <w:b/>
                <w:sz w:val="24"/>
                <w:szCs w:val="24"/>
              </w:rPr>
              <w:t>CORREO ELECTRÓNICO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9E0EAC">
            <w:pPr>
              <w:rPr>
                <w:rFonts w:asciiTheme="majorHAnsi" w:hAnsiTheme="majorHAnsi" w:cstheme="min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 w:cstheme="minorHAnsi"/>
                <w:i/>
                <w:sz w:val="24"/>
                <w:szCs w:val="24"/>
              </w:rPr>
              <w:t>sophie_daz@yahoo.com</w:t>
            </w:r>
          </w:p>
        </w:tc>
      </w:tr>
      <w:tr w:rsidR="00D661E8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D661E8" w:rsidRPr="009946E1" w:rsidRDefault="00D661E8" w:rsidP="009E0EAC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D661E8" w:rsidRPr="00D26180" w:rsidRDefault="00D661E8" w:rsidP="009E0EAC">
            <w:pPr>
              <w:rPr>
                <w:rFonts w:asciiTheme="majorHAnsi" w:hAnsiTheme="majorHAnsi" w:cstheme="minorHAnsi"/>
                <w:i/>
                <w:sz w:val="24"/>
                <w:szCs w:val="24"/>
              </w:rPr>
            </w:pPr>
          </w:p>
        </w:tc>
      </w:tr>
      <w:tr w:rsidR="006E16E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D93B4D" w:rsidRDefault="006E16ED" w:rsidP="009E0EAC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9E0EAC">
            <w:pPr>
              <w:rPr>
                <w:rFonts w:ascii="Felix Titling" w:hAnsi="Felix Titling"/>
                <w:i/>
                <w:sz w:val="24"/>
                <w:szCs w:val="24"/>
              </w:rPr>
            </w:pPr>
          </w:p>
        </w:tc>
      </w:tr>
      <w:tr w:rsidR="006E16ED" w:rsidRPr="00D93B4D" w:rsidTr="00D661E8">
        <w:tc>
          <w:tcPr>
            <w:tcW w:w="3403" w:type="dxa"/>
            <w:tcBorders>
              <w:bottom w:val="single" w:sz="12" w:space="0" w:color="FFFFFF" w:themeColor="background1"/>
              <w:right w:val="single" w:sz="12" w:space="0" w:color="auto"/>
            </w:tcBorders>
            <w:vAlign w:val="center"/>
          </w:tcPr>
          <w:p w:rsidR="006E16ED" w:rsidRPr="00D93B4D" w:rsidRDefault="006E16ED" w:rsidP="009E0EAC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  <w:r>
              <w:rPr>
                <w:rFonts w:ascii="Felix Titling" w:hAnsi="Felix Titling"/>
                <w:b/>
                <w:sz w:val="24"/>
                <w:szCs w:val="24"/>
              </w:rPr>
              <w:t>EDUCACIÓN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FFFFFF" w:themeColor="background1"/>
            </w:tcBorders>
            <w:vAlign w:val="center"/>
          </w:tcPr>
          <w:p w:rsidR="006E16ED" w:rsidRPr="00D26180" w:rsidRDefault="006E16ED" w:rsidP="009E0EAC">
            <w:pPr>
              <w:rPr>
                <w:rFonts w:ascii="Felix Titling" w:hAnsi="Felix Titling"/>
                <w:i/>
                <w:sz w:val="24"/>
                <w:szCs w:val="24"/>
              </w:rPr>
            </w:pPr>
          </w:p>
        </w:tc>
      </w:tr>
      <w:tr w:rsidR="006E16ED" w:rsidRPr="00D93B4D" w:rsidTr="00D661E8">
        <w:tc>
          <w:tcPr>
            <w:tcW w:w="3403" w:type="dxa"/>
            <w:tcBorders>
              <w:top w:val="single" w:sz="12" w:space="0" w:color="FFFFFF" w:themeColor="background1"/>
              <w:right w:val="single" w:sz="12" w:space="0" w:color="auto"/>
            </w:tcBorders>
            <w:vAlign w:val="center"/>
          </w:tcPr>
          <w:p w:rsidR="006E16ED" w:rsidRDefault="006E16ED" w:rsidP="009E0EAC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12" w:space="0" w:color="FFFFFF" w:themeColor="background1"/>
              <w:left w:val="single" w:sz="12" w:space="0" w:color="auto"/>
            </w:tcBorders>
            <w:vAlign w:val="center"/>
          </w:tcPr>
          <w:p w:rsidR="006E16ED" w:rsidRPr="00D26180" w:rsidRDefault="006E16ED" w:rsidP="009E0EAC">
            <w:pPr>
              <w:rPr>
                <w:rFonts w:ascii="Felix Titling" w:hAnsi="Felix Titling"/>
                <w:i/>
                <w:sz w:val="24"/>
                <w:szCs w:val="24"/>
              </w:rPr>
            </w:pPr>
          </w:p>
        </w:tc>
      </w:tr>
      <w:tr w:rsidR="006E16E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D66C81" w:rsidRDefault="006E16ED" w:rsidP="00D66C81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D66C81">
              <w:rPr>
                <w:rFonts w:asciiTheme="majorHAnsi" w:hAnsiTheme="majorHAnsi"/>
                <w:b/>
                <w:sz w:val="24"/>
                <w:szCs w:val="24"/>
              </w:rPr>
              <w:t>TÉCNICO SUPERIOR EN RECURSOS HUMANOS.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Centro de Estudios Terciarios del Comahue.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(C.E.T.e.C).</w:t>
            </w:r>
          </w:p>
          <w:p w:rsidR="00B427BE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2010 – 2012.</w:t>
            </w:r>
          </w:p>
        </w:tc>
      </w:tr>
      <w:tr w:rsidR="006E16E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D66C81" w:rsidRDefault="006E16ED" w:rsidP="00D66C81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D66C81">
              <w:rPr>
                <w:rFonts w:asciiTheme="majorHAnsi" w:hAnsiTheme="majorHAnsi"/>
                <w:b/>
                <w:sz w:val="24"/>
                <w:szCs w:val="24"/>
              </w:rPr>
              <w:t>EDUCACIÓN SECUNDARIA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Titulo: Perito Mercantil con Orientación Contable.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Cpem n° 58.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2005 – 2009.</w:t>
            </w:r>
          </w:p>
        </w:tc>
      </w:tr>
      <w:tr w:rsidR="006E16ED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D66C81" w:rsidRDefault="006E16ED" w:rsidP="00D66C81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D661E8" w:rsidRPr="00D93B4D" w:rsidTr="00D661E8"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D661E8" w:rsidRPr="00D66C81" w:rsidRDefault="00D661E8" w:rsidP="00D66C81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D661E8" w:rsidRPr="00D26180" w:rsidRDefault="00D661E8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6E16ED" w:rsidRPr="00D93B4D" w:rsidTr="00D661E8">
        <w:tc>
          <w:tcPr>
            <w:tcW w:w="3403" w:type="dxa"/>
            <w:tcBorders>
              <w:bottom w:val="single" w:sz="12" w:space="0" w:color="FFFFFF" w:themeColor="background1"/>
              <w:right w:val="single" w:sz="12" w:space="0" w:color="auto"/>
            </w:tcBorders>
            <w:vAlign w:val="center"/>
          </w:tcPr>
          <w:p w:rsidR="006E16ED" w:rsidRPr="00D66C81" w:rsidRDefault="006E16ED" w:rsidP="00DE2537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  <w:r w:rsidRPr="00D66C81">
              <w:rPr>
                <w:rFonts w:ascii="Felix Titling" w:hAnsi="Felix Titling"/>
                <w:b/>
                <w:sz w:val="24"/>
                <w:szCs w:val="24"/>
              </w:rPr>
              <w:t>FORMACIÓN.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FFFFFF" w:themeColor="background1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="Felix Titling" w:hAnsi="Felix Titling"/>
                <w:b/>
                <w:i/>
                <w:sz w:val="24"/>
                <w:szCs w:val="24"/>
              </w:rPr>
            </w:pPr>
          </w:p>
        </w:tc>
      </w:tr>
      <w:tr w:rsidR="006E16ED" w:rsidRPr="00D93B4D" w:rsidTr="00D661E8">
        <w:trPr>
          <w:trHeight w:val="80"/>
        </w:trPr>
        <w:tc>
          <w:tcPr>
            <w:tcW w:w="3403" w:type="dxa"/>
            <w:tcBorders>
              <w:top w:val="single" w:sz="12" w:space="0" w:color="FFFFFF" w:themeColor="background1"/>
              <w:right w:val="single" w:sz="12" w:space="0" w:color="auto"/>
            </w:tcBorders>
            <w:vAlign w:val="center"/>
          </w:tcPr>
          <w:p w:rsidR="006E16ED" w:rsidRPr="00D66C81" w:rsidRDefault="006E16ED" w:rsidP="00D66C81">
            <w:pPr>
              <w:jc w:val="right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670" w:type="dxa"/>
            <w:tcBorders>
              <w:top w:val="single" w:sz="12" w:space="0" w:color="FFFFFF" w:themeColor="background1"/>
              <w:left w:val="single" w:sz="12" w:space="0" w:color="auto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="Felix Titling" w:hAnsi="Felix Titling"/>
                <w:b/>
                <w:i/>
                <w:sz w:val="24"/>
                <w:szCs w:val="24"/>
              </w:rPr>
            </w:pPr>
          </w:p>
        </w:tc>
      </w:tr>
      <w:tr w:rsidR="006E16ED" w:rsidRPr="00D93B4D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D66C81" w:rsidRDefault="006E16ED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D66C81">
              <w:rPr>
                <w:rFonts w:asciiTheme="majorHAnsi" w:hAnsiTheme="majorHAnsi"/>
                <w:b/>
                <w:sz w:val="24"/>
                <w:szCs w:val="24"/>
              </w:rPr>
              <w:t>RECLUTAMIENTO Y SELECCIÓN DE PERSONAL.</w:t>
            </w:r>
          </w:p>
          <w:p w:rsidR="006E16ED" w:rsidRPr="00D66C81" w:rsidRDefault="006E16ED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Centro PyME Adeneu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2011.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Duración: 12 horas reloj.</w:t>
            </w:r>
          </w:p>
        </w:tc>
      </w:tr>
      <w:tr w:rsidR="006E16ED" w:rsidRPr="00D93B4D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6E16ED" w:rsidRPr="00D66C81" w:rsidRDefault="006E16ED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OPERADOR DE PC.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E.P.A n° 12.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2011.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Duración: 108 horas reloj.</w:t>
            </w:r>
          </w:p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Conocimientos adquiridos: Word. Excel. Sistema Operativo</w:t>
            </w:r>
          </w:p>
        </w:tc>
      </w:tr>
      <w:tr w:rsidR="00B427BE" w:rsidRPr="00D93B4D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B427BE" w:rsidRDefault="00B427BE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CONCEPTO CONTABLES BÁSICOS.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B427BE" w:rsidRPr="00D26180" w:rsidRDefault="00B427BE" w:rsidP="00B427BE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Centro PyME Adeneu</w:t>
            </w:r>
          </w:p>
          <w:p w:rsidR="00B427BE" w:rsidRPr="00D26180" w:rsidRDefault="00B427BE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2013.</w:t>
            </w:r>
          </w:p>
          <w:p w:rsidR="00B427BE" w:rsidRPr="00D26180" w:rsidRDefault="00B427BE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Duración: 8 horas reloj.</w:t>
            </w:r>
          </w:p>
        </w:tc>
      </w:tr>
      <w:tr w:rsidR="005F2E38" w:rsidRPr="00B427BE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5F2E38" w:rsidRDefault="005F2E38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SECRETARIADO ADMINISTRATIVO CONTABLE</w:t>
            </w:r>
          </w:p>
          <w:p w:rsidR="00B427BE" w:rsidRDefault="00B427BE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Y </w:t>
            </w:r>
          </w:p>
          <w:p w:rsidR="00B427BE" w:rsidRDefault="00B427BE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TANGO GESTIÓN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5F2E38" w:rsidRPr="00D26180" w:rsidRDefault="005F2E38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I.D.I</w:t>
            </w:r>
          </w:p>
          <w:p w:rsidR="005F2E38" w:rsidRPr="00D26180" w:rsidRDefault="00B427BE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2013 (</w:t>
            </w:r>
            <w:r w:rsidR="005F2E38" w:rsidRPr="00587534">
              <w:rPr>
                <w:rFonts w:asciiTheme="majorHAnsi" w:hAnsiTheme="majorHAnsi"/>
                <w:i/>
                <w:sz w:val="24"/>
                <w:szCs w:val="24"/>
              </w:rPr>
              <w:t>Actualmente</w:t>
            </w:r>
            <w:r w:rsidR="005F2E38"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="001500B0" w:rsidRPr="00D26180">
              <w:rPr>
                <w:rFonts w:asciiTheme="majorHAnsi" w:hAnsiTheme="majorHAnsi"/>
                <w:i/>
                <w:sz w:val="24"/>
                <w:szCs w:val="24"/>
              </w:rPr>
              <w:t>cursando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1500B0" w:rsidRPr="00D26180" w:rsidRDefault="00B427BE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Conocimientos adquiridos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: Word. Excel.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Contabilidad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.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Sueldos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 xml:space="preserve"> y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jornales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.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Dactilografía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 xml:space="preserve">.  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Organización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 xml:space="preserve"> de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empresas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.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Compras</w:t>
            </w:r>
            <w:r w:rsidRPr="00D26180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,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ventas</w:t>
            </w:r>
            <w:r w:rsidRPr="00D26180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, stock.</w:t>
            </w:r>
          </w:p>
        </w:tc>
      </w:tr>
      <w:tr w:rsidR="00587534" w:rsidRPr="00B427BE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587534" w:rsidRDefault="00587534" w:rsidP="006E16ED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RECEPCIONISTA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587534" w:rsidRDefault="00587534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Centro de Capacitación de la Municipalidad de Plaza Huincul.</w:t>
            </w:r>
          </w:p>
          <w:p w:rsidR="00587534" w:rsidRPr="00D26180" w:rsidRDefault="00587534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Octubre – Diciembre 2013.</w:t>
            </w:r>
          </w:p>
        </w:tc>
      </w:tr>
      <w:tr w:rsidR="006E16ED" w:rsidRPr="00B427BE" w:rsidTr="00D661E8">
        <w:trPr>
          <w:trHeight w:val="160"/>
        </w:trPr>
        <w:tc>
          <w:tcPr>
            <w:tcW w:w="3403" w:type="dxa"/>
            <w:tcBorders>
              <w:bottom w:val="single" w:sz="12" w:space="0" w:color="FFFFFF" w:themeColor="background1"/>
              <w:right w:val="single" w:sz="12" w:space="0" w:color="auto"/>
            </w:tcBorders>
            <w:vAlign w:val="center"/>
          </w:tcPr>
          <w:p w:rsidR="00322DB7" w:rsidRPr="00B427BE" w:rsidRDefault="00322DB7" w:rsidP="00D661E8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</w:p>
          <w:p w:rsidR="00D26180" w:rsidRDefault="00D26180" w:rsidP="00D661E8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</w:p>
          <w:p w:rsidR="006E16ED" w:rsidRPr="001500B0" w:rsidRDefault="00D661E8" w:rsidP="00D661E8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  <w:lang w:val="en-US"/>
              </w:rPr>
            </w:pPr>
            <w:r w:rsidRPr="00B427BE">
              <w:rPr>
                <w:rFonts w:ascii="Felix Titling" w:hAnsi="Felix Titling"/>
                <w:b/>
                <w:sz w:val="24"/>
                <w:szCs w:val="24"/>
              </w:rPr>
              <w:t xml:space="preserve">OTROS </w:t>
            </w:r>
            <w:r w:rsidR="006E16ED" w:rsidRPr="00B427BE">
              <w:rPr>
                <w:rFonts w:ascii="Felix Titling" w:hAnsi="Felix Titling"/>
                <w:b/>
                <w:sz w:val="24"/>
                <w:szCs w:val="24"/>
              </w:rPr>
              <w:t>IDIOMA</w:t>
            </w:r>
            <w:r w:rsidRPr="00B427BE">
              <w:rPr>
                <w:rFonts w:ascii="Felix Titling" w:hAnsi="Felix Titling"/>
                <w:b/>
                <w:sz w:val="24"/>
                <w:szCs w:val="24"/>
              </w:rPr>
              <w:t>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FFFFFF" w:themeColor="background1"/>
            </w:tcBorders>
            <w:vAlign w:val="center"/>
          </w:tcPr>
          <w:p w:rsidR="006E16ED" w:rsidRPr="00D26180" w:rsidRDefault="006E16ED" w:rsidP="00D66C81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</w:p>
        </w:tc>
      </w:tr>
      <w:tr w:rsidR="00D661E8" w:rsidRPr="00D93B4D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D661E8" w:rsidRPr="001500B0" w:rsidRDefault="00D661E8" w:rsidP="00D661E8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  <w:lang w:val="en-US"/>
              </w:rPr>
            </w:pPr>
            <w:r w:rsidRPr="001500B0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INGLES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D661E8" w:rsidRPr="00D26180" w:rsidRDefault="00D661E8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Hand in Hand School of English.</w:t>
            </w:r>
          </w:p>
          <w:p w:rsidR="00D661E8" w:rsidRPr="00587534" w:rsidRDefault="00D661E8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2009.</w:t>
            </w:r>
          </w:p>
          <w:p w:rsidR="00D661E8" w:rsidRPr="00587534" w:rsidRDefault="00D661E8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Steps</w:t>
            </w:r>
            <w:proofErr w:type="spellEnd"/>
            <w:r w:rsidRPr="00587534"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Institute</w:t>
            </w:r>
            <w:proofErr w:type="spellEnd"/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.</w:t>
            </w:r>
          </w:p>
          <w:p w:rsidR="00D661E8" w:rsidRPr="00587534" w:rsidRDefault="00D661E8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 xml:space="preserve">2007 – 2008 </w:t>
            </w:r>
          </w:p>
          <w:p w:rsidR="00D661E8" w:rsidRPr="00D26180" w:rsidRDefault="00D661E8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>•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 xml:space="preserve"> Lectura</w:t>
            </w:r>
            <w:r w:rsidRPr="00587534">
              <w:rPr>
                <w:rFonts w:asciiTheme="majorHAnsi" w:hAnsiTheme="majorHAnsi"/>
                <w:i/>
                <w:sz w:val="24"/>
                <w:szCs w:val="24"/>
              </w:rPr>
              <w:t xml:space="preserve">: </w:t>
            </w: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nivel intermedio</w:t>
            </w:r>
          </w:p>
          <w:p w:rsidR="00D661E8" w:rsidRPr="00D26180" w:rsidRDefault="00D661E8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• Escritura: nivel intermedio</w:t>
            </w:r>
          </w:p>
          <w:p w:rsidR="00D661E8" w:rsidRPr="00D26180" w:rsidRDefault="00D661E8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• Expresión oral: nivel intermedio</w:t>
            </w:r>
          </w:p>
        </w:tc>
      </w:tr>
      <w:tr w:rsidR="00322DB7" w:rsidRPr="00D93B4D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322DB7" w:rsidRPr="00D661E8" w:rsidRDefault="00322DB7" w:rsidP="00D661E8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322DB7" w:rsidRPr="00D26180" w:rsidRDefault="00322DB7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322DB7" w:rsidRPr="00B427BE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322DB7" w:rsidRPr="00322DB7" w:rsidRDefault="00322DB7" w:rsidP="00D661E8">
            <w:pPr>
              <w:spacing w:line="360" w:lineRule="auto"/>
              <w:jc w:val="right"/>
              <w:rPr>
                <w:rFonts w:ascii="Felix Titling" w:hAnsi="Felix Titling"/>
                <w:b/>
                <w:sz w:val="24"/>
                <w:szCs w:val="24"/>
              </w:rPr>
            </w:pPr>
            <w:r w:rsidRPr="00322DB7">
              <w:rPr>
                <w:rFonts w:ascii="Felix Titling" w:hAnsi="Felix Titling"/>
                <w:b/>
                <w:sz w:val="24"/>
                <w:szCs w:val="24"/>
              </w:rPr>
              <w:t>EXPERIENCIA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322DB7" w:rsidRPr="00D26180" w:rsidRDefault="00322DB7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  <w:tr w:rsidR="00322DB7" w:rsidRPr="00D93B4D" w:rsidTr="00D661E8">
        <w:trPr>
          <w:trHeight w:val="160"/>
        </w:trPr>
        <w:tc>
          <w:tcPr>
            <w:tcW w:w="3403" w:type="dxa"/>
            <w:tcBorders>
              <w:right w:val="single" w:sz="12" w:space="0" w:color="auto"/>
            </w:tcBorders>
            <w:vAlign w:val="center"/>
          </w:tcPr>
          <w:p w:rsidR="00322DB7" w:rsidRDefault="00322DB7" w:rsidP="00D661E8">
            <w:pPr>
              <w:spacing w:line="360" w:lineRule="auto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B427BE">
              <w:rPr>
                <w:rFonts w:asciiTheme="majorHAnsi" w:hAnsiTheme="majorHAnsi"/>
                <w:b/>
                <w:sz w:val="24"/>
                <w:szCs w:val="24"/>
              </w:rPr>
              <w:t>VOLANTERA</w:t>
            </w: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322DB7" w:rsidRPr="00D26180" w:rsidRDefault="00322DB7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Efectivo Si.</w:t>
            </w:r>
          </w:p>
          <w:p w:rsidR="00322DB7" w:rsidRPr="00D26180" w:rsidRDefault="00322DB7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Periodo: 25/02/2013-25/03/2013</w:t>
            </w:r>
          </w:p>
          <w:p w:rsidR="00322DB7" w:rsidRPr="00D26180" w:rsidRDefault="00322DB7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Referencia: Mariela Sandoval.</w:t>
            </w:r>
          </w:p>
          <w:p w:rsidR="00322DB7" w:rsidRPr="00D26180" w:rsidRDefault="00322DB7" w:rsidP="00D661E8">
            <w:pPr>
              <w:spacing w:line="360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D26180">
              <w:rPr>
                <w:rFonts w:asciiTheme="majorHAnsi" w:hAnsiTheme="majorHAnsi"/>
                <w:i/>
                <w:sz w:val="24"/>
                <w:szCs w:val="24"/>
              </w:rPr>
              <w:t>Teléfono: 0291-154686988</w:t>
            </w:r>
          </w:p>
        </w:tc>
      </w:tr>
    </w:tbl>
    <w:p w:rsidR="00087435" w:rsidRDefault="00087435"/>
    <w:sectPr w:rsidR="00087435" w:rsidSect="00DE2537"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084E71"/>
    <w:rsid w:val="00087435"/>
    <w:rsid w:val="001500B0"/>
    <w:rsid w:val="00322DB7"/>
    <w:rsid w:val="003C08BC"/>
    <w:rsid w:val="00587534"/>
    <w:rsid w:val="005F2E38"/>
    <w:rsid w:val="00690795"/>
    <w:rsid w:val="006E16ED"/>
    <w:rsid w:val="008B6BAC"/>
    <w:rsid w:val="009946E1"/>
    <w:rsid w:val="009E0EAC"/>
    <w:rsid w:val="00A950AF"/>
    <w:rsid w:val="00B22498"/>
    <w:rsid w:val="00B427BE"/>
    <w:rsid w:val="00D26180"/>
    <w:rsid w:val="00D661E8"/>
    <w:rsid w:val="00D66C81"/>
    <w:rsid w:val="00D93B4D"/>
    <w:rsid w:val="00D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3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1E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E253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2537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3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1E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E253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2537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DÍAZ SOFÍA</dc:subject>
  <dc:creator>Usuario</dc:creator>
  <cp:lastModifiedBy>Usuario</cp:lastModifiedBy>
  <cp:revision>10</cp:revision>
  <cp:lastPrinted>2013-12-09T02:50:00Z</cp:lastPrinted>
  <dcterms:created xsi:type="dcterms:W3CDTF">2013-02-06T17:31:00Z</dcterms:created>
  <dcterms:modified xsi:type="dcterms:W3CDTF">2013-12-09T02:57:00Z</dcterms:modified>
</cp:coreProperties>
</file>