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990FF3">
        <w:rPr>
          <w:rFonts w:cs="Calibri"/>
          <w:b/>
          <w:noProof/>
          <w:color w:val="2D3B45"/>
          <w:sz w:val="28"/>
          <w:shd w:val="clear" w:color="auto" w:fill="FFFFFF"/>
        </w:rPr>
        <w:t>April 4,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0F3D77">
        <w:rPr>
          <w:rFonts w:cs="Calibri"/>
          <w:b/>
          <w:color w:val="2D3B45"/>
          <w:sz w:val="28"/>
          <w:shd w:val="clear" w:color="auto" w:fill="FFFFFF"/>
        </w:rPr>
        <w:t>7</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jc w:val="center"/>
        <w:tblCellMar>
          <w:left w:w="10" w:type="dxa"/>
          <w:right w:w="10" w:type="dxa"/>
        </w:tblCellMar>
        <w:tblLook w:val="0000" w:firstRow="0" w:lastRow="0" w:firstColumn="0" w:lastColumn="0" w:noHBand="0" w:noVBand="0"/>
      </w:tblPr>
      <w:tblGrid>
        <w:gridCol w:w="8856"/>
      </w:tblGrid>
      <w:tr w:rsidR="00920773" w:rsidTr="00416A82">
        <w:trPr>
          <w:jc w:val="center"/>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990FF3">
              <w:rPr>
                <w:rFonts w:ascii="Times New Roman" w:hAnsi="Times New Roman" w:cs="Times New Roman"/>
                <w:noProof/>
                <w:sz w:val="22"/>
                <w:szCs w:val="22"/>
              </w:rPr>
              <w:t>April 4,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332C5F" w:rsidRPr="00332C5F" w:rsidRDefault="005A5AF7" w:rsidP="00332C5F">
      <w:r>
        <w:br w:type="page"/>
      </w:r>
    </w:p>
    <w:p w:rsidR="008B1CF0" w:rsidRDefault="008B1CF0" w:rsidP="000F3D77">
      <w:pPr>
        <w:pStyle w:val="ListParagraph"/>
        <w:numPr>
          <w:ilvl w:val="0"/>
          <w:numId w:val="15"/>
        </w:numPr>
        <w:jc w:val="both"/>
      </w:pPr>
      <w:r>
        <w:lastRenderedPageBreak/>
        <w:t>The makers of “Cats Love It” cat litter are facing a serious problem. Retail customers are reporting that cartons of the firm’s premium brand cat litter are leaking the product onto store shelves. The company realizes that while cat lovers are used to cleaning stray sprays of litter tracked through the house, they are not willing to put up with cartons that leak on the way home. Management has determined that the problem is with the carton-sealing process. Cartons are filled and sealed on a production line run by 20 workers. The company decides to perform 3-factor factorial experiment. A run consists of filling and sealing 200 cartons. The factors to be tested and levels of each are shown below.</w:t>
      </w:r>
    </w:p>
    <w:p w:rsidR="008B1CF0" w:rsidRDefault="008B1CF0" w:rsidP="000F3D77">
      <w:pPr>
        <w:pStyle w:val="ListParagraph"/>
        <w:numPr>
          <w:ilvl w:val="0"/>
          <w:numId w:val="16"/>
        </w:numPr>
        <w:jc w:val="both"/>
      </w:pPr>
      <w:r w:rsidRPr="008B1CF0">
        <w:rPr>
          <w:b/>
        </w:rPr>
        <w:t>Factor A</w:t>
      </w:r>
      <w:r>
        <w:t xml:space="preserve"> is line speed with the minus level at 22 cartons per minute and the plus level at 30 cartons per minute. </w:t>
      </w:r>
    </w:p>
    <w:p w:rsidR="008B1CF0" w:rsidRDefault="008B1CF0" w:rsidP="000F3D77">
      <w:pPr>
        <w:pStyle w:val="ListParagraph"/>
        <w:numPr>
          <w:ilvl w:val="0"/>
          <w:numId w:val="16"/>
        </w:numPr>
        <w:jc w:val="both"/>
      </w:pPr>
      <w:r w:rsidRPr="008B1CF0">
        <w:rPr>
          <w:b/>
        </w:rPr>
        <w:t>Factor B</w:t>
      </w:r>
      <w:r>
        <w:t xml:space="preserve"> is the pressure applied by the gluing machine, with the minus level being lower pressure and the plus level being higher pressure. </w:t>
      </w:r>
    </w:p>
    <w:p w:rsidR="000F3D77" w:rsidRDefault="008B1CF0" w:rsidP="000F3D77">
      <w:pPr>
        <w:pStyle w:val="ListParagraph"/>
        <w:numPr>
          <w:ilvl w:val="0"/>
          <w:numId w:val="16"/>
        </w:numPr>
        <w:jc w:val="both"/>
      </w:pPr>
      <w:r w:rsidRPr="008B1CF0">
        <w:rPr>
          <w:b/>
        </w:rPr>
        <w:t>Factor C</w:t>
      </w:r>
      <w:r>
        <w:t xml:space="preserve"> is the amount of glue used, with the plus level being the current amount and the minus level being 40% less glue. </w:t>
      </w:r>
    </w:p>
    <w:p w:rsidR="00EB45E9" w:rsidRDefault="008B1CF0" w:rsidP="00EB45E9">
      <w:pPr>
        <w:pStyle w:val="ListParagraph"/>
        <w:numPr>
          <w:ilvl w:val="0"/>
          <w:numId w:val="16"/>
        </w:numPr>
        <w:jc w:val="both"/>
      </w:pPr>
      <w:r>
        <w:t xml:space="preserve">The response is the proportion (%) of cartons that leak, whose values are observed as 8, 45, 47, 10, 8, 40, 41, 8, listed in the standard order. </w:t>
      </w:r>
    </w:p>
    <w:p w:rsidR="000F3D77" w:rsidRDefault="000F3D77" w:rsidP="00C057BC">
      <w:pPr>
        <w:pStyle w:val="ListParagraph"/>
        <w:numPr>
          <w:ilvl w:val="0"/>
          <w:numId w:val="16"/>
        </w:numPr>
        <w:jc w:val="both"/>
      </w:pPr>
      <w:r>
        <w:t>Estimation results (You computed these for A, B, and AC in your previous Homework problem) are</w:t>
      </w:r>
      <w:r w:rsidR="00EB45E9">
        <w:t xml:space="preserve"> </w:t>
      </w:r>
      <w:r>
        <w:t>given as:</w:t>
      </w:r>
    </w:p>
    <w:p w:rsidR="000F3D77" w:rsidRDefault="000F3D77" w:rsidP="000F3D77">
      <w:pPr>
        <w:pStyle w:val="ListParagraph"/>
        <w:ind w:left="1440"/>
        <w:jc w:val="both"/>
      </w:pPr>
    </w:p>
    <w:tbl>
      <w:tblPr>
        <w:tblStyle w:val="TableGrid"/>
        <w:tblW w:w="0" w:type="auto"/>
        <w:jc w:val="center"/>
        <w:tblLayout w:type="fixed"/>
        <w:tblLook w:val="04A0" w:firstRow="1" w:lastRow="0" w:firstColumn="1" w:lastColumn="0" w:noHBand="0" w:noVBand="1"/>
      </w:tblPr>
      <w:tblGrid>
        <w:gridCol w:w="953"/>
        <w:gridCol w:w="953"/>
        <w:gridCol w:w="429"/>
        <w:gridCol w:w="810"/>
        <w:gridCol w:w="900"/>
      </w:tblGrid>
      <w:tr w:rsidR="00FC001A" w:rsidTr="00FC001A">
        <w:trPr>
          <w:jc w:val="center"/>
        </w:trPr>
        <w:tc>
          <w:tcPr>
            <w:tcW w:w="953" w:type="dxa"/>
          </w:tcPr>
          <w:p w:rsidR="00FC001A" w:rsidRDefault="00FC001A" w:rsidP="000F3D77">
            <w:pPr>
              <w:pStyle w:val="ListParagraph"/>
              <w:ind w:left="0"/>
              <w:jc w:val="both"/>
            </w:pPr>
            <w:r>
              <w:t>Average</w:t>
            </w:r>
          </w:p>
        </w:tc>
        <w:tc>
          <w:tcPr>
            <w:tcW w:w="953" w:type="dxa"/>
          </w:tcPr>
          <w:p w:rsidR="00FC001A" w:rsidRDefault="00FC001A" w:rsidP="00FC001A">
            <w:pPr>
              <w:pStyle w:val="ListParagraph"/>
              <w:ind w:left="0"/>
              <w:jc w:val="right"/>
            </w:pPr>
            <w:r>
              <w:t>25.875</w:t>
            </w:r>
          </w:p>
        </w:tc>
        <w:tc>
          <w:tcPr>
            <w:tcW w:w="429" w:type="dxa"/>
          </w:tcPr>
          <w:p w:rsidR="00FC001A" w:rsidRDefault="00FC001A" w:rsidP="000F3D77">
            <w:pPr>
              <w:pStyle w:val="ListParagraph"/>
              <w:ind w:left="0"/>
              <w:jc w:val="both"/>
            </w:pPr>
          </w:p>
        </w:tc>
        <w:tc>
          <w:tcPr>
            <w:tcW w:w="810" w:type="dxa"/>
          </w:tcPr>
          <w:p w:rsidR="00FC001A" w:rsidRDefault="00FC001A" w:rsidP="000F3D77">
            <w:pPr>
              <w:pStyle w:val="ListParagraph"/>
              <w:ind w:left="0"/>
              <w:jc w:val="both"/>
            </w:pPr>
            <w:r>
              <w:t>AB</w:t>
            </w:r>
          </w:p>
        </w:tc>
        <w:tc>
          <w:tcPr>
            <w:tcW w:w="900" w:type="dxa"/>
          </w:tcPr>
          <w:p w:rsidR="00FC001A" w:rsidRDefault="00FC001A" w:rsidP="00FC001A">
            <w:pPr>
              <w:pStyle w:val="ListParagraph"/>
              <w:ind w:left="0"/>
              <w:jc w:val="right"/>
            </w:pPr>
            <w:r>
              <w:t>−34.75</w:t>
            </w:r>
          </w:p>
        </w:tc>
      </w:tr>
      <w:tr w:rsidR="00FC001A" w:rsidTr="00FC001A">
        <w:trPr>
          <w:jc w:val="center"/>
        </w:trPr>
        <w:tc>
          <w:tcPr>
            <w:tcW w:w="953" w:type="dxa"/>
          </w:tcPr>
          <w:p w:rsidR="00FC001A" w:rsidRDefault="00FC001A" w:rsidP="000F3D77">
            <w:pPr>
              <w:pStyle w:val="ListParagraph"/>
              <w:ind w:left="0"/>
              <w:jc w:val="both"/>
            </w:pPr>
            <w:r>
              <w:t>A</w:t>
            </w:r>
          </w:p>
        </w:tc>
        <w:tc>
          <w:tcPr>
            <w:tcW w:w="953" w:type="dxa"/>
          </w:tcPr>
          <w:p w:rsidR="00FC001A" w:rsidRDefault="00FC001A" w:rsidP="00FC001A">
            <w:pPr>
              <w:pStyle w:val="ListParagraph"/>
              <w:ind w:left="0"/>
              <w:jc w:val="right"/>
            </w:pPr>
            <w:r>
              <w:t>−0.25</w:t>
            </w:r>
          </w:p>
        </w:tc>
        <w:tc>
          <w:tcPr>
            <w:tcW w:w="429" w:type="dxa"/>
          </w:tcPr>
          <w:p w:rsidR="00FC001A" w:rsidRDefault="00FC001A" w:rsidP="000F3D77">
            <w:pPr>
              <w:pStyle w:val="ListParagraph"/>
              <w:ind w:left="0"/>
              <w:jc w:val="both"/>
            </w:pPr>
          </w:p>
        </w:tc>
        <w:tc>
          <w:tcPr>
            <w:tcW w:w="810" w:type="dxa"/>
          </w:tcPr>
          <w:p w:rsidR="00FC001A" w:rsidRDefault="00FC001A" w:rsidP="000F3D77">
            <w:pPr>
              <w:pStyle w:val="ListParagraph"/>
              <w:ind w:left="0"/>
              <w:jc w:val="both"/>
            </w:pPr>
            <w:r>
              <w:t>AC</w:t>
            </w:r>
          </w:p>
        </w:tc>
        <w:tc>
          <w:tcPr>
            <w:tcW w:w="900" w:type="dxa"/>
          </w:tcPr>
          <w:p w:rsidR="00FC001A" w:rsidRDefault="00FC001A" w:rsidP="00FC001A">
            <w:pPr>
              <w:pStyle w:val="ListParagraph"/>
              <w:ind w:left="0"/>
              <w:jc w:val="right"/>
            </w:pPr>
            <w:r>
              <w:t>−0.25</w:t>
            </w:r>
          </w:p>
        </w:tc>
      </w:tr>
      <w:tr w:rsidR="00FC001A" w:rsidTr="00FC001A">
        <w:trPr>
          <w:jc w:val="center"/>
        </w:trPr>
        <w:tc>
          <w:tcPr>
            <w:tcW w:w="953" w:type="dxa"/>
          </w:tcPr>
          <w:p w:rsidR="00FC001A" w:rsidRDefault="00FC001A" w:rsidP="000F3D77">
            <w:pPr>
              <w:pStyle w:val="ListParagraph"/>
              <w:ind w:left="0"/>
              <w:jc w:val="both"/>
            </w:pPr>
            <w:r>
              <w:t>B</w:t>
            </w:r>
          </w:p>
        </w:tc>
        <w:tc>
          <w:tcPr>
            <w:tcW w:w="953" w:type="dxa"/>
          </w:tcPr>
          <w:p w:rsidR="00FC001A" w:rsidRDefault="00FC001A" w:rsidP="00FC001A">
            <w:pPr>
              <w:pStyle w:val="ListParagraph"/>
              <w:ind w:left="0"/>
              <w:jc w:val="right"/>
            </w:pPr>
            <w:r>
              <w:t>1.25</w:t>
            </w:r>
          </w:p>
        </w:tc>
        <w:tc>
          <w:tcPr>
            <w:tcW w:w="429" w:type="dxa"/>
          </w:tcPr>
          <w:p w:rsidR="00FC001A" w:rsidRDefault="00FC001A" w:rsidP="000F3D77">
            <w:pPr>
              <w:pStyle w:val="ListParagraph"/>
              <w:ind w:left="0"/>
              <w:jc w:val="both"/>
            </w:pPr>
          </w:p>
        </w:tc>
        <w:tc>
          <w:tcPr>
            <w:tcW w:w="810" w:type="dxa"/>
          </w:tcPr>
          <w:p w:rsidR="00FC001A" w:rsidRDefault="00FC001A" w:rsidP="000F3D77">
            <w:pPr>
              <w:pStyle w:val="ListParagraph"/>
              <w:ind w:left="0"/>
              <w:jc w:val="both"/>
            </w:pPr>
            <w:r>
              <w:t>BC</w:t>
            </w:r>
          </w:p>
        </w:tc>
        <w:tc>
          <w:tcPr>
            <w:tcW w:w="900" w:type="dxa"/>
          </w:tcPr>
          <w:p w:rsidR="00FC001A" w:rsidRDefault="00FC001A" w:rsidP="00FC001A">
            <w:pPr>
              <w:pStyle w:val="ListParagraph"/>
              <w:ind w:left="0"/>
              <w:jc w:val="right"/>
            </w:pPr>
            <w:r>
              <w:t>−0.75</w:t>
            </w:r>
          </w:p>
        </w:tc>
      </w:tr>
      <w:tr w:rsidR="00FC001A" w:rsidTr="00FC001A">
        <w:trPr>
          <w:jc w:val="center"/>
        </w:trPr>
        <w:tc>
          <w:tcPr>
            <w:tcW w:w="953" w:type="dxa"/>
          </w:tcPr>
          <w:p w:rsidR="00FC001A" w:rsidRDefault="00FC001A" w:rsidP="000F3D77">
            <w:pPr>
              <w:pStyle w:val="ListParagraph"/>
              <w:ind w:left="0"/>
              <w:jc w:val="both"/>
            </w:pPr>
            <w:r>
              <w:t>C</w:t>
            </w:r>
          </w:p>
        </w:tc>
        <w:tc>
          <w:tcPr>
            <w:tcW w:w="953" w:type="dxa"/>
          </w:tcPr>
          <w:p w:rsidR="00FC001A" w:rsidRDefault="00FC001A" w:rsidP="00FC001A">
            <w:pPr>
              <w:pStyle w:val="ListParagraph"/>
              <w:ind w:left="0"/>
              <w:jc w:val="right"/>
            </w:pPr>
            <w:r>
              <w:t>−3.25</w:t>
            </w:r>
          </w:p>
        </w:tc>
        <w:tc>
          <w:tcPr>
            <w:tcW w:w="429" w:type="dxa"/>
          </w:tcPr>
          <w:p w:rsidR="00FC001A" w:rsidRDefault="00FC001A" w:rsidP="000F3D77">
            <w:pPr>
              <w:pStyle w:val="ListParagraph"/>
              <w:ind w:left="0"/>
              <w:jc w:val="both"/>
            </w:pPr>
          </w:p>
        </w:tc>
        <w:tc>
          <w:tcPr>
            <w:tcW w:w="810" w:type="dxa"/>
          </w:tcPr>
          <w:p w:rsidR="00FC001A" w:rsidRDefault="00FC001A" w:rsidP="000F3D77">
            <w:pPr>
              <w:pStyle w:val="ListParagraph"/>
              <w:ind w:left="0"/>
              <w:jc w:val="both"/>
            </w:pPr>
            <w:r>
              <w:t>ABC</w:t>
            </w:r>
          </w:p>
        </w:tc>
        <w:tc>
          <w:tcPr>
            <w:tcW w:w="900" w:type="dxa"/>
          </w:tcPr>
          <w:p w:rsidR="00FC001A" w:rsidRDefault="00FC001A" w:rsidP="00FC001A">
            <w:pPr>
              <w:pStyle w:val="ListParagraph"/>
              <w:ind w:left="0"/>
              <w:jc w:val="right"/>
            </w:pPr>
            <w:r>
              <w:t>2.25</w:t>
            </w:r>
          </w:p>
        </w:tc>
      </w:tr>
    </w:tbl>
    <w:p w:rsidR="00EB45E9" w:rsidRDefault="00EB45E9" w:rsidP="000F3D77">
      <w:pPr>
        <w:pStyle w:val="ListParagraph"/>
        <w:ind w:left="1440"/>
        <w:jc w:val="both"/>
      </w:pPr>
    </w:p>
    <w:p w:rsidR="000F3D77" w:rsidRDefault="000F3D77" w:rsidP="00EB45E9">
      <w:pPr>
        <w:pStyle w:val="ListParagraph"/>
        <w:numPr>
          <w:ilvl w:val="0"/>
          <w:numId w:val="23"/>
        </w:numPr>
        <w:jc w:val="both"/>
      </w:pPr>
      <w:r>
        <w:t>Suppose each response is the average of two replicated runs (note the numbers have been rounded). Suppose the pooled estimate of the variance of the response of an individual run is equal to 16. Based on 95% confidence intervals for an effect, which effects are significant? (Note: If a 95% confidence interval does not contain 0, then you can reject H0 with α = 0.05 when your H1 is two-sided.)</w:t>
      </w:r>
    </w:p>
    <w:p w:rsidR="001C2431" w:rsidRDefault="001C2431" w:rsidP="001C2431">
      <w:pPr>
        <w:pStyle w:val="ListParagraph"/>
        <w:ind w:left="1080"/>
        <w:jc w:val="both"/>
      </w:pPr>
    </w:p>
    <w:p w:rsidR="00990FF3" w:rsidRDefault="001C2431" w:rsidP="001C2431">
      <w:pPr>
        <w:pStyle w:val="ListParagraph"/>
        <w:ind w:left="450"/>
      </w:pPr>
      <w:r>
        <w:rPr>
          <w:noProof/>
        </w:rPr>
        <w:drawing>
          <wp:inline distT="0" distB="0" distL="0" distR="0">
            <wp:extent cx="6515100" cy="1288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5100" cy="1288415"/>
                    </a:xfrm>
                    <a:prstGeom prst="rect">
                      <a:avLst/>
                    </a:prstGeom>
                  </pic:spPr>
                </pic:pic>
              </a:graphicData>
            </a:graphic>
          </wp:inline>
        </w:drawing>
      </w:r>
    </w:p>
    <w:p w:rsidR="00990FF3" w:rsidRPr="001C2431" w:rsidRDefault="001C2431" w:rsidP="00990FF3">
      <w:pPr>
        <w:pStyle w:val="ListParagraph"/>
        <w:ind w:left="1080"/>
        <w:jc w:val="both"/>
        <w:rPr>
          <w:b/>
        </w:rPr>
      </w:pPr>
      <w:r w:rsidRPr="001C2431">
        <w:rPr>
          <w:b/>
          <w:color w:val="FF0000"/>
        </w:rPr>
        <w:t>None of the main effects are significant.  The only effect that is significant is the AB interaction effect.</w:t>
      </w:r>
    </w:p>
    <w:p w:rsidR="001C2431" w:rsidRDefault="001C2431" w:rsidP="00990FF3">
      <w:pPr>
        <w:pStyle w:val="ListParagraph"/>
        <w:ind w:left="1080"/>
        <w:jc w:val="both"/>
      </w:pPr>
    </w:p>
    <w:p w:rsidR="001C2431" w:rsidRDefault="001C2431">
      <w:r>
        <w:br w:type="page"/>
      </w:r>
    </w:p>
    <w:p w:rsidR="000F3D77" w:rsidRDefault="000F3D77" w:rsidP="00EB45E9">
      <w:pPr>
        <w:pStyle w:val="ListParagraph"/>
        <w:numPr>
          <w:ilvl w:val="0"/>
          <w:numId w:val="23"/>
        </w:numPr>
        <w:jc w:val="both"/>
      </w:pPr>
      <w:r>
        <w:lastRenderedPageBreak/>
        <w:t>What is the regression prediction equation? (Note: In the regression prediction equation, only significant effects are included. The intercept term in that equation is the mean response (i.e., the average of responses).)</w:t>
      </w:r>
    </w:p>
    <w:p w:rsidR="00990FF3" w:rsidRDefault="00990FF3" w:rsidP="00990FF3">
      <w:pPr>
        <w:pStyle w:val="ListParagraph"/>
        <w:ind w:left="1080"/>
        <w:jc w:val="both"/>
      </w:pPr>
    </w:p>
    <w:p w:rsidR="00990FF3" w:rsidRDefault="001C2431" w:rsidP="00990FF3">
      <w:pPr>
        <w:pStyle w:val="ListParagraph"/>
        <w:ind w:left="1080"/>
        <w:jc w:val="both"/>
        <w:rPr>
          <w:b/>
          <w:color w:val="FF0000"/>
        </w:rPr>
      </w:pPr>
      <w:r w:rsidRPr="008502C9">
        <w:rPr>
          <w:b/>
          <w:color w:val="FF0000"/>
        </w:rPr>
        <w:t>Because the only effect that is significant is the AB interaction effect, the regression prediction equation is as follows:</w:t>
      </w:r>
    </w:p>
    <w:p w:rsidR="00FE7C73" w:rsidRPr="008502C9" w:rsidRDefault="00FE7C73" w:rsidP="00990FF3">
      <w:pPr>
        <w:pStyle w:val="ListParagraph"/>
        <w:ind w:left="1080"/>
        <w:jc w:val="both"/>
        <w:rPr>
          <w:b/>
          <w:color w:val="FF0000"/>
        </w:rPr>
      </w:pPr>
    </w:p>
    <w:p w:rsidR="001C2431" w:rsidRPr="008502C9" w:rsidRDefault="008502C9" w:rsidP="008502C9">
      <w:pPr>
        <w:pStyle w:val="ListParagraph"/>
        <w:spacing w:line="480" w:lineRule="auto"/>
        <w:ind w:left="1080"/>
        <w:jc w:val="both"/>
        <w:rPr>
          <w:b/>
          <w:color w:val="FF0000"/>
        </w:rPr>
      </w:pPr>
      <m:oMathPara>
        <m:oMathParaPr>
          <m:jc m:val="left"/>
        </m:oMathParaPr>
        <m:oMath>
          <m:r>
            <m:rPr>
              <m:sty m:val="bi"/>
            </m:rPr>
            <w:rPr>
              <w:rFonts w:ascii="Cambria Math" w:hAnsi="Cambria Math"/>
              <w:color w:val="FF0000"/>
            </w:rPr>
            <m:t>Y=Intercept+β(</m:t>
          </m:r>
          <m:f>
            <m:fPr>
              <m:ctrlPr>
                <w:rPr>
                  <w:rFonts w:ascii="Cambria Math" w:hAnsi="Cambria Math"/>
                  <w:b/>
                  <w:i/>
                  <w:color w:val="FF0000"/>
                </w:rPr>
              </m:ctrlPr>
            </m:fPr>
            <m:num>
              <m:r>
                <m:rPr>
                  <m:sty m:val="bi"/>
                </m:rPr>
                <w:rPr>
                  <w:rFonts w:ascii="Cambria Math" w:hAnsi="Cambria Math"/>
                  <w:color w:val="FF0000"/>
                </w:rPr>
                <m:t>AB Effect</m:t>
              </m:r>
            </m:num>
            <m:den>
              <m:r>
                <m:rPr>
                  <m:sty m:val="bi"/>
                </m:rPr>
                <w:rPr>
                  <w:rFonts w:ascii="Cambria Math" w:hAnsi="Cambria Math"/>
                  <w:color w:val="FF0000"/>
                </w:rPr>
                <m:t>2</m:t>
              </m:r>
            </m:den>
          </m:f>
          <m:r>
            <m:rPr>
              <m:sty m:val="bi"/>
            </m:rPr>
            <w:rPr>
              <w:rFonts w:ascii="Cambria Math" w:hAnsi="Cambria Math"/>
              <w:color w:val="FF0000"/>
            </w:rPr>
            <m:t>)*AB</m:t>
          </m:r>
        </m:oMath>
      </m:oMathPara>
    </w:p>
    <w:p w:rsidR="008502C9" w:rsidRPr="008502C9" w:rsidRDefault="008502C9" w:rsidP="008502C9">
      <w:pPr>
        <w:pStyle w:val="ListParagraph"/>
        <w:spacing w:line="480" w:lineRule="auto"/>
        <w:ind w:left="1080"/>
        <w:jc w:val="both"/>
        <w:rPr>
          <w:rFonts w:eastAsiaTheme="minorEastAsia"/>
          <w:b/>
          <w:color w:val="FF0000"/>
        </w:rPr>
      </w:pPr>
      <m:oMath>
        <m:r>
          <m:rPr>
            <m:sty m:val="bi"/>
          </m:rPr>
          <w:rPr>
            <w:rFonts w:ascii="Cambria Math" w:hAnsi="Cambria Math"/>
            <w:color w:val="FF0000"/>
          </w:rPr>
          <m:t>Intercept=</m:t>
        </m:r>
        <m:f>
          <m:fPr>
            <m:ctrlPr>
              <w:rPr>
                <w:rFonts w:ascii="Cambria Math" w:hAnsi="Cambria Math"/>
                <w:b/>
                <w:i/>
                <w:color w:val="FF0000"/>
              </w:rPr>
            </m:ctrlPr>
          </m:fPr>
          <m:num>
            <m:nary>
              <m:naryPr>
                <m:chr m:val="∑"/>
                <m:limLoc m:val="undOvr"/>
                <m:subHide m:val="1"/>
                <m:supHide m:val="1"/>
                <m:ctrlPr>
                  <w:rPr>
                    <w:rFonts w:ascii="Cambria Math" w:hAnsi="Cambria Math"/>
                    <w:b/>
                    <w:i/>
                    <w:color w:val="FF0000"/>
                  </w:rPr>
                </m:ctrlPr>
              </m:naryPr>
              <m:sub/>
              <m:sup/>
              <m:e>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X</m:t>
                        </m:r>
                      </m:e>
                    </m:acc>
                  </m:e>
                </m:d>
              </m:e>
            </m:nary>
          </m:num>
          <m:den>
            <m:r>
              <m:rPr>
                <m:sty m:val="bi"/>
              </m:rPr>
              <w:rPr>
                <w:rFonts w:ascii="Cambria Math" w:hAnsi="Cambria Math"/>
                <w:color w:val="FF0000"/>
              </w:rPr>
              <m:t>n</m:t>
            </m:r>
          </m:den>
        </m:f>
      </m:oMath>
      <w:r w:rsidRPr="008502C9">
        <w:rPr>
          <w:rFonts w:eastAsiaTheme="minorEastAsia"/>
          <w:b/>
          <w:color w:val="FF0000"/>
        </w:rPr>
        <w:t xml:space="preserve"> = 25.875;  </w:t>
      </w:r>
    </w:p>
    <w:p w:rsidR="008502C9" w:rsidRPr="008502C9" w:rsidRDefault="008502C9" w:rsidP="008502C9">
      <w:pPr>
        <w:pStyle w:val="ListParagraph"/>
        <w:spacing w:line="480" w:lineRule="auto"/>
        <w:ind w:left="1080"/>
        <w:jc w:val="both"/>
        <w:rPr>
          <w:b/>
          <w:color w:val="FF0000"/>
        </w:rPr>
      </w:pPr>
      <m:oMathPara>
        <m:oMathParaPr>
          <m:jc m:val="left"/>
        </m:oMathParaPr>
        <m:oMath>
          <m:r>
            <m:rPr>
              <m:sty m:val="bi"/>
            </m:rPr>
            <w:rPr>
              <w:rFonts w:ascii="Cambria Math" w:hAnsi="Cambria Math"/>
              <w:color w:val="FF0000"/>
            </w:rPr>
            <m:t>Y=25.875-17.375*AB</m:t>
          </m:r>
        </m:oMath>
      </m:oMathPara>
    </w:p>
    <w:p w:rsidR="00414890" w:rsidRDefault="000F3D77" w:rsidP="00EB45E9">
      <w:pPr>
        <w:pStyle w:val="ListParagraph"/>
        <w:numPr>
          <w:ilvl w:val="0"/>
          <w:numId w:val="23"/>
        </w:numPr>
        <w:jc w:val="both"/>
      </w:pPr>
      <w:r>
        <w:t>What levels would you recommend for each factor? What is the predicted response (proportion of leaking cartons) if your recommended settings are used?</w:t>
      </w:r>
    </w:p>
    <w:p w:rsidR="008502C9" w:rsidRDefault="008502C9" w:rsidP="008502C9">
      <w:pPr>
        <w:pStyle w:val="ListParagraph"/>
        <w:ind w:left="1080"/>
        <w:jc w:val="both"/>
      </w:pPr>
    </w:p>
    <w:p w:rsidR="008502C9" w:rsidRPr="008502C9" w:rsidRDefault="008502C9" w:rsidP="008502C9">
      <w:pPr>
        <w:pStyle w:val="ListParagraph"/>
        <w:ind w:left="1080"/>
        <w:jc w:val="both"/>
        <w:rPr>
          <w:b/>
          <w:color w:val="FF0000"/>
        </w:rPr>
      </w:pPr>
      <w:r>
        <w:rPr>
          <w:b/>
          <w:color w:val="FF0000"/>
        </w:rPr>
        <w:t xml:space="preserve">Given that AB is the only factor that displays a significant factor in the leakage of the cartons, we </w:t>
      </w:r>
      <w:r w:rsidR="00EA048D">
        <w:rPr>
          <w:b/>
          <w:color w:val="FF0000"/>
        </w:rPr>
        <w:t>observe that the percentage of faulty cartons is minimized when AB is positive</w:t>
      </w:r>
      <w:r w:rsidR="00B7296D">
        <w:rPr>
          <w:b/>
          <w:color w:val="FF0000"/>
        </w:rPr>
        <w:t>, resulting in an 8.5% anticipated leakage probability</w:t>
      </w:r>
      <w:bookmarkStart w:id="1" w:name="_GoBack"/>
      <w:bookmarkEnd w:id="1"/>
      <w:r w:rsidR="00EA048D">
        <w:rPr>
          <w:b/>
          <w:color w:val="FF0000"/>
        </w:rPr>
        <w:t>.  We can conclude, then, that the optimal settings for the company is when A and B are either both negative or positive.  When looking at the responses of these two options, we find that setting both on a lower setting improves the quality of the cartons overall, although setting all three factors to positive would gain the same result.  Under these conditions, the predicted response would be 8%.</w:t>
      </w:r>
    </w:p>
    <w:sectPr w:rsidR="008502C9" w:rsidRPr="008502C9" w:rsidSect="00416A82">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5CEB"/>
    <w:multiLevelType w:val="hybridMultilevel"/>
    <w:tmpl w:val="2CCCF3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F58A2"/>
    <w:multiLevelType w:val="hybridMultilevel"/>
    <w:tmpl w:val="25B86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AE3"/>
    <w:multiLevelType w:val="hybridMultilevel"/>
    <w:tmpl w:val="9E38392E"/>
    <w:lvl w:ilvl="0" w:tplc="17B85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50952"/>
    <w:multiLevelType w:val="hybridMultilevel"/>
    <w:tmpl w:val="1C88F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E6AEB"/>
    <w:multiLevelType w:val="hybridMultilevel"/>
    <w:tmpl w:val="10D4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E873B4"/>
    <w:multiLevelType w:val="hybridMultilevel"/>
    <w:tmpl w:val="47D6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A122B"/>
    <w:multiLevelType w:val="hybridMultilevel"/>
    <w:tmpl w:val="494443D0"/>
    <w:lvl w:ilvl="0" w:tplc="064A9A00">
      <w:start w:val="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B447A4"/>
    <w:multiLevelType w:val="hybridMultilevel"/>
    <w:tmpl w:val="9CF636E4"/>
    <w:lvl w:ilvl="0" w:tplc="A142D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8E6811"/>
    <w:multiLevelType w:val="hybridMultilevel"/>
    <w:tmpl w:val="62D29DBE"/>
    <w:lvl w:ilvl="0" w:tplc="B7B40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303E"/>
    <w:multiLevelType w:val="hybridMultilevel"/>
    <w:tmpl w:val="CC04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65A0F"/>
    <w:multiLevelType w:val="hybridMultilevel"/>
    <w:tmpl w:val="857668F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B3F72"/>
    <w:multiLevelType w:val="hybridMultilevel"/>
    <w:tmpl w:val="86D2C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DD3235"/>
    <w:multiLevelType w:val="hybridMultilevel"/>
    <w:tmpl w:val="9378CB68"/>
    <w:lvl w:ilvl="0" w:tplc="FB800C5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767274"/>
    <w:multiLevelType w:val="hybridMultilevel"/>
    <w:tmpl w:val="4E9C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35DD3"/>
    <w:multiLevelType w:val="hybridMultilevel"/>
    <w:tmpl w:val="5BFA1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0157E8"/>
    <w:multiLevelType w:val="hybridMultilevel"/>
    <w:tmpl w:val="741CED38"/>
    <w:lvl w:ilvl="0" w:tplc="0409000F">
      <w:start w:val="1"/>
      <w:numFmt w:val="decimal"/>
      <w:lvlText w:val="%1."/>
      <w:lvlJc w:val="left"/>
      <w:pPr>
        <w:ind w:left="720" w:hanging="360"/>
      </w:pPr>
    </w:lvl>
    <w:lvl w:ilvl="1" w:tplc="7EE8F4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56536"/>
    <w:multiLevelType w:val="hybridMultilevel"/>
    <w:tmpl w:val="FA5078F2"/>
    <w:lvl w:ilvl="0" w:tplc="75164DA6">
      <w:start w:val="2"/>
      <w:numFmt w:val="decimal"/>
      <w:lvlText w:val="%1."/>
      <w:lvlJc w:val="left"/>
      <w:pPr>
        <w:ind w:left="720" w:hanging="360"/>
      </w:pPr>
      <w:rPr>
        <w:rFonts w:hint="default"/>
      </w:rPr>
    </w:lvl>
    <w:lvl w:ilvl="1" w:tplc="47A4DE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008C4"/>
    <w:multiLevelType w:val="hybridMultilevel"/>
    <w:tmpl w:val="EF6E1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A31EA"/>
    <w:multiLevelType w:val="hybridMultilevel"/>
    <w:tmpl w:val="350EA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B840AA"/>
    <w:multiLevelType w:val="hybridMultilevel"/>
    <w:tmpl w:val="B92C6478"/>
    <w:lvl w:ilvl="0" w:tplc="CFACAF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BC32CE"/>
    <w:multiLevelType w:val="hybridMultilevel"/>
    <w:tmpl w:val="8A4E72D6"/>
    <w:lvl w:ilvl="0" w:tplc="CFACAF90">
      <w:start w:val="1"/>
      <w:numFmt w:val="decimal"/>
      <w:lvlText w:val="%1."/>
      <w:lvlJc w:val="left"/>
      <w:pPr>
        <w:ind w:left="1080" w:hanging="360"/>
      </w:pPr>
      <w:rPr>
        <w:rFonts w:hint="default"/>
      </w:rPr>
    </w:lvl>
    <w:lvl w:ilvl="1" w:tplc="064A9A00">
      <w:start w:val="2"/>
      <w:numFmt w:val="bullet"/>
      <w:lvlText w:val="•"/>
      <w:lvlJc w:val="left"/>
      <w:pPr>
        <w:ind w:left="1440" w:hanging="360"/>
      </w:pPr>
      <w:rPr>
        <w:rFonts w:ascii="Calibri" w:eastAsiaTheme="minorHAnsi" w:hAnsi="Calibri" w:cs="Calibri"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2"/>
  </w:num>
  <w:num w:numId="4">
    <w:abstractNumId w:val="18"/>
  </w:num>
  <w:num w:numId="5">
    <w:abstractNumId w:val="7"/>
  </w:num>
  <w:num w:numId="6">
    <w:abstractNumId w:val="6"/>
  </w:num>
  <w:num w:numId="7">
    <w:abstractNumId w:val="8"/>
  </w:num>
  <w:num w:numId="8">
    <w:abstractNumId w:val="15"/>
  </w:num>
  <w:num w:numId="9">
    <w:abstractNumId w:val="14"/>
  </w:num>
  <w:num w:numId="10">
    <w:abstractNumId w:val="22"/>
  </w:num>
  <w:num w:numId="11">
    <w:abstractNumId w:val="12"/>
  </w:num>
  <w:num w:numId="12">
    <w:abstractNumId w:val="23"/>
  </w:num>
  <w:num w:numId="13">
    <w:abstractNumId w:val="5"/>
  </w:num>
  <w:num w:numId="14">
    <w:abstractNumId w:val="16"/>
  </w:num>
  <w:num w:numId="15">
    <w:abstractNumId w:val="4"/>
  </w:num>
  <w:num w:numId="16">
    <w:abstractNumId w:val="17"/>
  </w:num>
  <w:num w:numId="17">
    <w:abstractNumId w:val="1"/>
  </w:num>
  <w:num w:numId="18">
    <w:abstractNumId w:val="9"/>
  </w:num>
  <w:num w:numId="19">
    <w:abstractNumId w:val="19"/>
  </w:num>
  <w:num w:numId="20">
    <w:abstractNumId w:val="21"/>
  </w:num>
  <w:num w:numId="21">
    <w:abstractNumId w:val="11"/>
  </w:num>
  <w:num w:numId="22">
    <w:abstractNumId w:val="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3"/>
    <w:rsid w:val="00001414"/>
    <w:rsid w:val="00034D6E"/>
    <w:rsid w:val="0005240B"/>
    <w:rsid w:val="00057077"/>
    <w:rsid w:val="0009446E"/>
    <w:rsid w:val="000C129E"/>
    <w:rsid w:val="000C1EDE"/>
    <w:rsid w:val="000F3D77"/>
    <w:rsid w:val="00100DDD"/>
    <w:rsid w:val="00127FC3"/>
    <w:rsid w:val="00142F86"/>
    <w:rsid w:val="0015614E"/>
    <w:rsid w:val="001976DE"/>
    <w:rsid w:val="001A7C0C"/>
    <w:rsid w:val="001C01FF"/>
    <w:rsid w:val="001C2431"/>
    <w:rsid w:val="001D355F"/>
    <w:rsid w:val="00250C88"/>
    <w:rsid w:val="00255919"/>
    <w:rsid w:val="0028582C"/>
    <w:rsid w:val="002B11E0"/>
    <w:rsid w:val="002B50DA"/>
    <w:rsid w:val="002D0598"/>
    <w:rsid w:val="002D74D8"/>
    <w:rsid w:val="002E1B74"/>
    <w:rsid w:val="002F4060"/>
    <w:rsid w:val="00305E2C"/>
    <w:rsid w:val="00315C59"/>
    <w:rsid w:val="003253A6"/>
    <w:rsid w:val="00332C5F"/>
    <w:rsid w:val="003A58B1"/>
    <w:rsid w:val="003B2CB3"/>
    <w:rsid w:val="003D2104"/>
    <w:rsid w:val="003D7015"/>
    <w:rsid w:val="00414890"/>
    <w:rsid w:val="00416A82"/>
    <w:rsid w:val="0044352E"/>
    <w:rsid w:val="004724EA"/>
    <w:rsid w:val="004738F2"/>
    <w:rsid w:val="004B7FBC"/>
    <w:rsid w:val="004C0D06"/>
    <w:rsid w:val="004C3248"/>
    <w:rsid w:val="004F3F04"/>
    <w:rsid w:val="005410EF"/>
    <w:rsid w:val="005A5AF7"/>
    <w:rsid w:val="006173C6"/>
    <w:rsid w:val="006317C8"/>
    <w:rsid w:val="0069318F"/>
    <w:rsid w:val="0069408D"/>
    <w:rsid w:val="00696B86"/>
    <w:rsid w:val="006C7092"/>
    <w:rsid w:val="006D7C55"/>
    <w:rsid w:val="00716EC2"/>
    <w:rsid w:val="00725AEB"/>
    <w:rsid w:val="00754EB2"/>
    <w:rsid w:val="007748DB"/>
    <w:rsid w:val="00777710"/>
    <w:rsid w:val="00780370"/>
    <w:rsid w:val="0079205B"/>
    <w:rsid w:val="007C4F13"/>
    <w:rsid w:val="007D482D"/>
    <w:rsid w:val="007D5C51"/>
    <w:rsid w:val="008069AB"/>
    <w:rsid w:val="008502C9"/>
    <w:rsid w:val="008558EB"/>
    <w:rsid w:val="008669A8"/>
    <w:rsid w:val="008B1CF0"/>
    <w:rsid w:val="008C0AD6"/>
    <w:rsid w:val="008E4131"/>
    <w:rsid w:val="008F6D65"/>
    <w:rsid w:val="00910F7D"/>
    <w:rsid w:val="00920773"/>
    <w:rsid w:val="00927633"/>
    <w:rsid w:val="00962B25"/>
    <w:rsid w:val="0097479F"/>
    <w:rsid w:val="009860A2"/>
    <w:rsid w:val="00990FF3"/>
    <w:rsid w:val="009B37EE"/>
    <w:rsid w:val="009F2091"/>
    <w:rsid w:val="00A374B2"/>
    <w:rsid w:val="00A42616"/>
    <w:rsid w:val="00A509EA"/>
    <w:rsid w:val="00A80975"/>
    <w:rsid w:val="00AB44BB"/>
    <w:rsid w:val="00B13FB4"/>
    <w:rsid w:val="00B63370"/>
    <w:rsid w:val="00B7296D"/>
    <w:rsid w:val="00B9555B"/>
    <w:rsid w:val="00BA2512"/>
    <w:rsid w:val="00BB5031"/>
    <w:rsid w:val="00BC311C"/>
    <w:rsid w:val="00BD672A"/>
    <w:rsid w:val="00BF3AE6"/>
    <w:rsid w:val="00BF7670"/>
    <w:rsid w:val="00C101B4"/>
    <w:rsid w:val="00C473C1"/>
    <w:rsid w:val="00C653D0"/>
    <w:rsid w:val="00C71181"/>
    <w:rsid w:val="00CB4E53"/>
    <w:rsid w:val="00CB5571"/>
    <w:rsid w:val="00D857F4"/>
    <w:rsid w:val="00DD0427"/>
    <w:rsid w:val="00E076E8"/>
    <w:rsid w:val="00E1497A"/>
    <w:rsid w:val="00E30ADB"/>
    <w:rsid w:val="00E82590"/>
    <w:rsid w:val="00E93CD4"/>
    <w:rsid w:val="00E97C5C"/>
    <w:rsid w:val="00EA048D"/>
    <w:rsid w:val="00EB45E9"/>
    <w:rsid w:val="00EC48C6"/>
    <w:rsid w:val="00EC50DB"/>
    <w:rsid w:val="00EF0D02"/>
    <w:rsid w:val="00F10F63"/>
    <w:rsid w:val="00FA3176"/>
    <w:rsid w:val="00FC001A"/>
    <w:rsid w:val="00FD0524"/>
    <w:rsid w:val="00FE7386"/>
    <w:rsid w:val="00FE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B4C9"/>
  <w15:chartTrackingRefBased/>
  <w15:docId w15:val="{F0E2B457-5E82-4EA4-BD81-55FECBCD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988">
      <w:bodyDiv w:val="1"/>
      <w:marLeft w:val="0"/>
      <w:marRight w:val="0"/>
      <w:marTop w:val="0"/>
      <w:marBottom w:val="0"/>
      <w:divBdr>
        <w:top w:val="none" w:sz="0" w:space="0" w:color="auto"/>
        <w:left w:val="none" w:sz="0" w:space="0" w:color="auto"/>
        <w:bottom w:val="none" w:sz="0" w:space="0" w:color="auto"/>
        <w:right w:val="none" w:sz="0" w:space="0" w:color="auto"/>
      </w:divBdr>
    </w:div>
    <w:div w:id="113713953">
      <w:bodyDiv w:val="1"/>
      <w:marLeft w:val="0"/>
      <w:marRight w:val="0"/>
      <w:marTop w:val="0"/>
      <w:marBottom w:val="0"/>
      <w:divBdr>
        <w:top w:val="none" w:sz="0" w:space="0" w:color="auto"/>
        <w:left w:val="none" w:sz="0" w:space="0" w:color="auto"/>
        <w:bottom w:val="none" w:sz="0" w:space="0" w:color="auto"/>
        <w:right w:val="none" w:sz="0" w:space="0" w:color="auto"/>
      </w:divBdr>
    </w:div>
    <w:div w:id="294214802">
      <w:bodyDiv w:val="1"/>
      <w:marLeft w:val="0"/>
      <w:marRight w:val="0"/>
      <w:marTop w:val="0"/>
      <w:marBottom w:val="0"/>
      <w:divBdr>
        <w:top w:val="none" w:sz="0" w:space="0" w:color="auto"/>
        <w:left w:val="none" w:sz="0" w:space="0" w:color="auto"/>
        <w:bottom w:val="none" w:sz="0" w:space="0" w:color="auto"/>
        <w:right w:val="none" w:sz="0" w:space="0" w:color="auto"/>
      </w:divBdr>
    </w:div>
    <w:div w:id="660155892">
      <w:bodyDiv w:val="1"/>
      <w:marLeft w:val="0"/>
      <w:marRight w:val="0"/>
      <w:marTop w:val="0"/>
      <w:marBottom w:val="0"/>
      <w:divBdr>
        <w:top w:val="none" w:sz="0" w:space="0" w:color="auto"/>
        <w:left w:val="none" w:sz="0" w:space="0" w:color="auto"/>
        <w:bottom w:val="none" w:sz="0" w:space="0" w:color="auto"/>
        <w:right w:val="none" w:sz="0" w:space="0" w:color="auto"/>
      </w:divBdr>
    </w:div>
    <w:div w:id="678892604">
      <w:bodyDiv w:val="1"/>
      <w:marLeft w:val="0"/>
      <w:marRight w:val="0"/>
      <w:marTop w:val="0"/>
      <w:marBottom w:val="0"/>
      <w:divBdr>
        <w:top w:val="none" w:sz="0" w:space="0" w:color="auto"/>
        <w:left w:val="none" w:sz="0" w:space="0" w:color="auto"/>
        <w:bottom w:val="none" w:sz="0" w:space="0" w:color="auto"/>
        <w:right w:val="none" w:sz="0" w:space="0" w:color="auto"/>
      </w:divBdr>
    </w:div>
    <w:div w:id="683825158">
      <w:bodyDiv w:val="1"/>
      <w:marLeft w:val="0"/>
      <w:marRight w:val="0"/>
      <w:marTop w:val="0"/>
      <w:marBottom w:val="0"/>
      <w:divBdr>
        <w:top w:val="none" w:sz="0" w:space="0" w:color="auto"/>
        <w:left w:val="none" w:sz="0" w:space="0" w:color="auto"/>
        <w:bottom w:val="none" w:sz="0" w:space="0" w:color="auto"/>
        <w:right w:val="none" w:sz="0" w:space="0" w:color="auto"/>
      </w:divBdr>
    </w:div>
    <w:div w:id="785734437">
      <w:bodyDiv w:val="1"/>
      <w:marLeft w:val="0"/>
      <w:marRight w:val="0"/>
      <w:marTop w:val="0"/>
      <w:marBottom w:val="0"/>
      <w:divBdr>
        <w:top w:val="none" w:sz="0" w:space="0" w:color="auto"/>
        <w:left w:val="none" w:sz="0" w:space="0" w:color="auto"/>
        <w:bottom w:val="none" w:sz="0" w:space="0" w:color="auto"/>
        <w:right w:val="none" w:sz="0" w:space="0" w:color="auto"/>
      </w:divBdr>
    </w:div>
    <w:div w:id="795024727">
      <w:bodyDiv w:val="1"/>
      <w:marLeft w:val="0"/>
      <w:marRight w:val="0"/>
      <w:marTop w:val="0"/>
      <w:marBottom w:val="0"/>
      <w:divBdr>
        <w:top w:val="none" w:sz="0" w:space="0" w:color="auto"/>
        <w:left w:val="none" w:sz="0" w:space="0" w:color="auto"/>
        <w:bottom w:val="none" w:sz="0" w:space="0" w:color="auto"/>
        <w:right w:val="none" w:sz="0" w:space="0" w:color="auto"/>
      </w:divBdr>
    </w:div>
    <w:div w:id="1271667533">
      <w:bodyDiv w:val="1"/>
      <w:marLeft w:val="0"/>
      <w:marRight w:val="0"/>
      <w:marTop w:val="0"/>
      <w:marBottom w:val="0"/>
      <w:divBdr>
        <w:top w:val="none" w:sz="0" w:space="0" w:color="auto"/>
        <w:left w:val="none" w:sz="0" w:space="0" w:color="auto"/>
        <w:bottom w:val="none" w:sz="0" w:space="0" w:color="auto"/>
        <w:right w:val="none" w:sz="0" w:space="0" w:color="auto"/>
      </w:divBdr>
    </w:div>
    <w:div w:id="1322779981">
      <w:bodyDiv w:val="1"/>
      <w:marLeft w:val="0"/>
      <w:marRight w:val="0"/>
      <w:marTop w:val="0"/>
      <w:marBottom w:val="0"/>
      <w:divBdr>
        <w:top w:val="none" w:sz="0" w:space="0" w:color="auto"/>
        <w:left w:val="none" w:sz="0" w:space="0" w:color="auto"/>
        <w:bottom w:val="none" w:sz="0" w:space="0" w:color="auto"/>
        <w:right w:val="none" w:sz="0" w:space="0" w:color="auto"/>
      </w:divBdr>
    </w:div>
    <w:div w:id="1439643784">
      <w:bodyDiv w:val="1"/>
      <w:marLeft w:val="0"/>
      <w:marRight w:val="0"/>
      <w:marTop w:val="0"/>
      <w:marBottom w:val="0"/>
      <w:divBdr>
        <w:top w:val="none" w:sz="0" w:space="0" w:color="auto"/>
        <w:left w:val="none" w:sz="0" w:space="0" w:color="auto"/>
        <w:bottom w:val="none" w:sz="0" w:space="0" w:color="auto"/>
        <w:right w:val="none" w:sz="0" w:space="0" w:color="auto"/>
      </w:divBdr>
    </w:div>
    <w:div w:id="1499346446">
      <w:bodyDiv w:val="1"/>
      <w:marLeft w:val="0"/>
      <w:marRight w:val="0"/>
      <w:marTop w:val="0"/>
      <w:marBottom w:val="0"/>
      <w:divBdr>
        <w:top w:val="none" w:sz="0" w:space="0" w:color="auto"/>
        <w:left w:val="none" w:sz="0" w:space="0" w:color="auto"/>
        <w:bottom w:val="none" w:sz="0" w:space="0" w:color="auto"/>
        <w:right w:val="none" w:sz="0" w:space="0" w:color="auto"/>
      </w:divBdr>
    </w:div>
    <w:div w:id="1672289535">
      <w:bodyDiv w:val="1"/>
      <w:marLeft w:val="0"/>
      <w:marRight w:val="0"/>
      <w:marTop w:val="0"/>
      <w:marBottom w:val="0"/>
      <w:divBdr>
        <w:top w:val="none" w:sz="0" w:space="0" w:color="auto"/>
        <w:left w:val="none" w:sz="0" w:space="0" w:color="auto"/>
        <w:bottom w:val="none" w:sz="0" w:space="0" w:color="auto"/>
        <w:right w:val="none" w:sz="0" w:space="0" w:color="auto"/>
      </w:divBdr>
    </w:div>
    <w:div w:id="1694530722">
      <w:bodyDiv w:val="1"/>
      <w:marLeft w:val="0"/>
      <w:marRight w:val="0"/>
      <w:marTop w:val="0"/>
      <w:marBottom w:val="0"/>
      <w:divBdr>
        <w:top w:val="none" w:sz="0" w:space="0" w:color="auto"/>
        <w:left w:val="none" w:sz="0" w:space="0" w:color="auto"/>
        <w:bottom w:val="none" w:sz="0" w:space="0" w:color="auto"/>
        <w:right w:val="none" w:sz="0" w:space="0" w:color="auto"/>
      </w:divBdr>
    </w:div>
    <w:div w:id="1724407702">
      <w:bodyDiv w:val="1"/>
      <w:marLeft w:val="0"/>
      <w:marRight w:val="0"/>
      <w:marTop w:val="0"/>
      <w:marBottom w:val="0"/>
      <w:divBdr>
        <w:top w:val="none" w:sz="0" w:space="0" w:color="auto"/>
        <w:left w:val="none" w:sz="0" w:space="0" w:color="auto"/>
        <w:bottom w:val="none" w:sz="0" w:space="0" w:color="auto"/>
        <w:right w:val="none" w:sz="0" w:space="0" w:color="auto"/>
      </w:divBdr>
    </w:div>
    <w:div w:id="1783915109">
      <w:bodyDiv w:val="1"/>
      <w:marLeft w:val="0"/>
      <w:marRight w:val="0"/>
      <w:marTop w:val="0"/>
      <w:marBottom w:val="0"/>
      <w:divBdr>
        <w:top w:val="none" w:sz="0" w:space="0" w:color="auto"/>
        <w:left w:val="none" w:sz="0" w:space="0" w:color="auto"/>
        <w:bottom w:val="none" w:sz="0" w:space="0" w:color="auto"/>
        <w:right w:val="none" w:sz="0" w:space="0" w:color="auto"/>
      </w:divBdr>
    </w:div>
    <w:div w:id="20824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7</cp:revision>
  <dcterms:created xsi:type="dcterms:W3CDTF">2017-03-31T21:44:00Z</dcterms:created>
  <dcterms:modified xsi:type="dcterms:W3CDTF">2017-04-04T17:24:00Z</dcterms:modified>
</cp:coreProperties>
</file>