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fif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9E2F" w14:textId="77777777" w:rsidR="006C3982" w:rsidRPr="00653E93" w:rsidRDefault="006C3982">
      <w:pPr>
        <w:widowControl w:val="0"/>
        <w:spacing w:after="0"/>
        <w:rPr>
          <w:rFonts w:ascii="Aptos" w:eastAsia="Arial" w:hAnsi="Aptos" w:cs="Arial"/>
          <w:sz w:val="20"/>
          <w:szCs w:val="20"/>
        </w:rPr>
      </w:pPr>
    </w:p>
    <w:tbl>
      <w:tblPr>
        <w:tblStyle w:val="Style10"/>
        <w:tblW w:w="1071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3190"/>
        <w:gridCol w:w="2161"/>
        <w:gridCol w:w="3220"/>
      </w:tblGrid>
      <w:tr w:rsidR="006C3982" w:rsidRPr="00653E93" w14:paraId="5A259E09" w14:textId="77777777" w:rsidTr="00712F18">
        <w:trPr>
          <w:trHeight w:val="540"/>
        </w:trPr>
        <w:tc>
          <w:tcPr>
            <w:tcW w:w="2147" w:type="dxa"/>
            <w:shd w:val="clear" w:color="auto" w:fill="004080"/>
            <w:vAlign w:val="center"/>
          </w:tcPr>
          <w:p w14:paraId="00C922D5" w14:textId="46A7B754" w:rsidR="006C3982" w:rsidRPr="00653E93" w:rsidRDefault="007476F9" w:rsidP="00712F1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 xml:space="preserve">Nombre del </w:t>
            </w:r>
            <w:r w:rsidR="00485550"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responsable</w:t>
            </w: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 xml:space="preserve"> que solicita.</w:t>
            </w:r>
          </w:p>
        </w:tc>
        <w:tc>
          <w:tcPr>
            <w:tcW w:w="3190" w:type="dxa"/>
            <w:vAlign w:val="center"/>
          </w:tcPr>
          <w:p w14:paraId="69C200BF" w14:textId="77777777" w:rsidR="006C3982" w:rsidRPr="00653E93" w:rsidRDefault="006C3982" w:rsidP="00712F18">
            <w:pPr>
              <w:spacing w:after="0" w:line="240" w:lineRule="auto"/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b/>
                <w:sz w:val="21"/>
              </w:rPr>
              <w:t>Alvaro Escobar</w:t>
            </w:r>
          </w:p>
        </w:tc>
        <w:tc>
          <w:tcPr>
            <w:tcW w:w="2161" w:type="dxa"/>
            <w:shd w:val="clear" w:color="auto" w:fill="004080"/>
            <w:vAlign w:val="center"/>
          </w:tcPr>
          <w:p w14:paraId="119DD51A" w14:textId="77777777" w:rsidR="006C3982" w:rsidRPr="00653E93" w:rsidRDefault="007476F9" w:rsidP="00712F1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Gerente que</w:t>
            </w:r>
          </w:p>
          <w:p w14:paraId="6F04F127" w14:textId="5574F577" w:rsidR="006C3982" w:rsidRPr="00653E93" w:rsidRDefault="007476F9" w:rsidP="00712F1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Autoriza</w:t>
            </w:r>
          </w:p>
        </w:tc>
        <w:tc>
          <w:tcPr>
            <w:tcW w:w="3220" w:type="dxa"/>
            <w:vAlign w:val="center"/>
          </w:tcPr>
          <w:p w14:paraId="009FA7F4" w14:textId="77777777" w:rsidR="006C3982" w:rsidRPr="00653E93" w:rsidRDefault="006C3982" w:rsidP="00712F18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b/>
                <w:sz w:val="21"/>
              </w:rPr>
            </w:r>
          </w:p>
        </w:tc>
      </w:tr>
      <w:tr w:rsidR="006C3982" w:rsidRPr="00653E93" w14:paraId="28FE066E" w14:textId="77777777" w:rsidTr="00712F18">
        <w:trPr>
          <w:trHeight w:val="260"/>
        </w:trPr>
        <w:tc>
          <w:tcPr>
            <w:tcW w:w="2147" w:type="dxa"/>
            <w:shd w:val="clear" w:color="auto" w:fill="004080"/>
            <w:vAlign w:val="center"/>
          </w:tcPr>
          <w:p w14:paraId="702CB55B" w14:textId="77777777" w:rsidR="006C3982" w:rsidRPr="00653E93" w:rsidRDefault="007476F9" w:rsidP="00712F1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Fecha de solicitud:</w:t>
            </w:r>
          </w:p>
        </w:tc>
        <w:tc>
          <w:tcPr>
            <w:tcW w:w="3190" w:type="dxa"/>
            <w:vAlign w:val="center"/>
          </w:tcPr>
          <w:p w14:paraId="7E364816" w14:textId="595793BB" w:rsidR="00830A2D" w:rsidRPr="00653E93" w:rsidRDefault="00AD2172" w:rsidP="00712F18">
            <w:pPr>
              <w:spacing w:after="0" w:line="240" w:lineRule="auto"/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b/>
                <w:sz w:val="21"/>
              </w:rPr>
              <w:t>31/07/2026</w:t>
            </w:r>
          </w:p>
        </w:tc>
        <w:tc>
          <w:tcPr>
            <w:tcW w:w="2161" w:type="dxa"/>
            <w:shd w:val="clear" w:color="auto" w:fill="004080"/>
            <w:vAlign w:val="center"/>
          </w:tcPr>
          <w:p w14:paraId="037860B8" w14:textId="77777777" w:rsidR="006C3982" w:rsidRPr="00653E93" w:rsidRDefault="007476F9" w:rsidP="00712F1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Unidad Solicitante:</w:t>
            </w:r>
          </w:p>
        </w:tc>
        <w:tc>
          <w:tcPr>
            <w:tcW w:w="3220" w:type="dxa"/>
            <w:vAlign w:val="center"/>
          </w:tcPr>
          <w:p w14:paraId="3C231589" w14:textId="27D426A9" w:rsidR="006C3982" w:rsidRPr="00653E93" w:rsidRDefault="00DD6DB2" w:rsidP="00712F18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b/>
                <w:sz w:val="21"/>
              </w:rPr>
              <w:t>Producto / Canales digitales</w:t>
            </w:r>
          </w:p>
        </w:tc>
      </w:tr>
      <w:tr w:rsidR="006C3982" w:rsidRPr="00653E93" w14:paraId="28D643A8" w14:textId="77777777" w:rsidTr="00712F18">
        <w:trPr>
          <w:trHeight w:val="280"/>
        </w:trPr>
        <w:tc>
          <w:tcPr>
            <w:tcW w:w="2147" w:type="dxa"/>
            <w:shd w:val="clear" w:color="auto" w:fill="004080"/>
            <w:vAlign w:val="center"/>
          </w:tcPr>
          <w:p w14:paraId="344985C0" w14:textId="77777777" w:rsidR="006C3982" w:rsidRPr="00653E93" w:rsidRDefault="007476F9" w:rsidP="00712F1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País:</w:t>
            </w:r>
          </w:p>
        </w:tc>
        <w:tc>
          <w:tcPr>
            <w:tcW w:w="3190" w:type="dxa"/>
            <w:vAlign w:val="center"/>
          </w:tcPr>
          <w:p w14:paraId="039CDDC9" w14:textId="77777777" w:rsidR="006C3982" w:rsidRPr="00653E93" w:rsidRDefault="007476F9" w:rsidP="00712F18">
            <w:pPr>
              <w:spacing w:after="0" w:line="240" w:lineRule="auto"/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b/>
                <w:sz w:val="21"/>
              </w:rPr>
              <w:t>El Salvador y Nicaragua</w:t>
            </w:r>
          </w:p>
        </w:tc>
        <w:tc>
          <w:tcPr>
            <w:tcW w:w="2161" w:type="dxa"/>
            <w:shd w:val="clear" w:color="auto" w:fill="004080"/>
            <w:vAlign w:val="center"/>
          </w:tcPr>
          <w:p w14:paraId="33F522FD" w14:textId="77777777" w:rsidR="006C3982" w:rsidRPr="00653E93" w:rsidRDefault="007476F9" w:rsidP="00712F1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Aplicativo/Modulo:</w:t>
            </w:r>
          </w:p>
        </w:tc>
        <w:tc>
          <w:tcPr>
            <w:tcW w:w="3220" w:type="dxa"/>
            <w:vAlign w:val="center"/>
          </w:tcPr>
          <w:p w14:paraId="5E4C1BE0" w14:textId="7ACFCF3A" w:rsidR="006C3982" w:rsidRPr="00653E93" w:rsidRDefault="00C25BBF" w:rsidP="00712F18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b/>
                <w:sz w:val="21"/>
              </w:rPr>
              <w:t>Portal web de Socios y Colectores</w:t>
            </w:r>
          </w:p>
        </w:tc>
      </w:tr>
    </w:tbl>
    <w:p w14:paraId="2EBBD039" w14:textId="77777777" w:rsidR="006C3982" w:rsidRPr="00653E93" w:rsidRDefault="006C3982">
      <w:pPr>
        <w:spacing w:after="120"/>
        <w:rPr>
          <w:rFonts w:ascii="Aptos" w:hAnsi="Aptos"/>
          <w:sz w:val="20"/>
          <w:szCs w:val="20"/>
        </w:rPr>
      </w:pPr>
    </w:p>
    <w:tbl>
      <w:tblPr>
        <w:tblStyle w:val="Style11"/>
        <w:tblW w:w="10705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4"/>
        <w:gridCol w:w="7781"/>
      </w:tblGrid>
      <w:tr w:rsidR="006C3982" w:rsidRPr="00653E93" w14:paraId="5ED4FB14" w14:textId="77777777" w:rsidTr="00AD2172">
        <w:trPr>
          <w:trHeight w:val="560"/>
        </w:trPr>
        <w:tc>
          <w:tcPr>
            <w:tcW w:w="2924" w:type="dxa"/>
            <w:shd w:val="clear" w:color="auto" w:fill="004080"/>
          </w:tcPr>
          <w:p w14:paraId="762FF717" w14:textId="77777777" w:rsidR="006C3982" w:rsidRPr="00653E93" w:rsidRDefault="007476F9">
            <w:pPr>
              <w:spacing w:after="12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Nombre del requerimiento</w:t>
            </w:r>
          </w:p>
        </w:tc>
        <w:tc>
          <w:tcPr>
            <w:tcW w:w="7781" w:type="dxa"/>
            <w:vAlign w:val="center"/>
          </w:tcPr>
          <w:p w14:paraId="29272C23" w14:textId="73B4679E" w:rsidR="009D0B3B" w:rsidRPr="00653E93" w:rsidRDefault="00485550" w:rsidP="00AD2172">
            <w:pPr>
              <w:spacing w:after="120" w:line="240" w:lineRule="auto"/>
              <w:rPr>
                <w:rFonts w:ascii="Aptos" w:hAnsi="Aptos"/>
                <w:sz w:val="20"/>
                <w:szCs w:val="20"/>
                <w:lang w:val="es-SV"/>
              </w:rPr>
            </w:pPr>
            <w:r>
              <w:rPr>
                <w:b w:val="0"/>
                <w:sz w:val="21"/>
              </w:rPr>
              <w:t>Rediseño del Portal de Socios y Colectores y módulo de Links de Pago con QR</w:t>
            </w:r>
          </w:p>
        </w:tc>
      </w:tr>
    </w:tbl>
    <w:p>
      <w:pPr>
        <w:spacing w:before="160" w:after="80"/>
      </w:pPr>
      <w:r>
        <w:rPr>
          <w:b/>
          <w:sz w:val="24"/>
          <w:color w:val="16357E"/>
        </w:rPr>
        <w:t>Índice</w:t>
      </w:r>
    </w:p>
    <w:p>
      <w:pPr>
        <w:spacing w:after="40"/>
        <w:ind w:left="240"/>
      </w:pPr>
      <w:hyperlink w:anchor="idx_plan">
        <w:r>
          <w:rPr>
            <w:color w:val="1F6FCE"/>
            <w:u w:val="single"/>
            <w:sz w:val="21"/>
          </w:rPr>
          <w:t>Planteamiento de situación actual</w:t>
        </w:r>
      </w:hyperlink>
    </w:p>
    <w:p>
      <w:pPr>
        <w:spacing w:after="40"/>
        <w:ind w:left="240"/>
      </w:pPr>
      <w:hyperlink w:anchor="idx_func">
        <w:r>
          <w:rPr>
            <w:color w:val="1F6FCE"/>
            <w:u w:val="single"/>
            <w:sz w:val="21"/>
          </w:rPr>
          <w:t>Funcionalidad necesaria</w:t>
        </w:r>
      </w:hyperlink>
    </w:p>
    <w:p>
      <w:pPr>
        <w:spacing w:after="40"/>
        <w:ind w:left="240"/>
      </w:pPr>
      <w:hyperlink w:anchor="idx_p1">
        <w:r>
          <w:rPr>
            <w:color w:val="1F6FCE"/>
            <w:u w:val="single"/>
            <w:sz w:val="21"/>
          </w:rPr>
          <w:t>Prioridad 1 — Paylink 1:1 (funcionalidad nueva) y base del portal</w:t>
        </w:r>
      </w:hyperlink>
    </w:p>
    <w:p>
      <w:pPr>
        <w:spacing w:after="40"/>
        <w:ind w:left="240"/>
      </w:pPr>
      <w:hyperlink w:anchor="idx_p2">
        <w:r>
          <w:rPr>
            <w:color w:val="1F6FCE"/>
            <w:u w:val="single"/>
            <w:sz w:val="21"/>
          </w:rPr>
          <w:t>Prioridad 2 — Rediseño de Transacciones y Dashboard</w:t>
        </w:r>
      </w:hyperlink>
    </w:p>
    <w:p>
      <w:pPr>
        <w:spacing w:after="40"/>
        <w:ind w:left="240"/>
      </w:pPr>
      <w:hyperlink w:anchor="idx_pers">
        <w:r>
          <w:rPr>
            <w:color w:val="1F6FCE"/>
            <w:u w:val="single"/>
            <w:sz w:val="21"/>
          </w:rPr>
          <w:t>Personas, países y unidades impactadas</w:t>
        </w:r>
      </w:hyperlink>
    </w:p>
    <w:p>
      <w:pPr>
        <w:spacing w:after="40"/>
        <w:ind w:left="240"/>
      </w:pPr>
      <w:hyperlink w:anchor="idx_imp">
        <w:r>
          <w:rPr>
            <w:color w:val="1F6FCE"/>
            <w:u w:val="single"/>
            <w:sz w:val="21"/>
          </w:rPr>
          <w:t>Impacto en la operación</w:t>
        </w:r>
      </w:hyperlink>
    </w:p>
    <w:p>
      <w:pPr>
        <w:spacing w:after="40"/>
        <w:ind w:left="240"/>
      </w:pPr>
      <w:hyperlink w:anchor="idx_obs">
        <w:r>
          <w:rPr>
            <w:color w:val="1F6FCE"/>
            <w:u w:val="single"/>
            <w:sz w:val="21"/>
          </w:rPr>
          <w:t>Observaciones</w:t>
        </w:r>
      </w:hyperlink>
    </w:p>
    <w:p>
      <w:pPr>
        <w:spacing w:after="40"/>
        <w:ind w:left="240"/>
      </w:pPr>
      <w:hyperlink w:anchor="idx_fir">
        <w:r>
          <w:rPr>
            <w:color w:val="1F6FCE"/>
            <w:u w:val="single"/>
            <w:sz w:val="21"/>
          </w:rPr>
          <w:t>Firmas</w:t>
        </w:r>
      </w:hyperlink>
    </w:p>
    <w:p w14:paraId="2BB1093B" w14:textId="77777777" w:rsidR="006C3982" w:rsidRPr="00653E93" w:rsidRDefault="006C3982">
      <w:pPr>
        <w:tabs>
          <w:tab w:val="left" w:pos="2475"/>
        </w:tabs>
        <w:rPr>
          <w:rFonts w:ascii="Aptos" w:hAnsi="Aptos"/>
          <w:sz w:val="20"/>
          <w:szCs w:val="20"/>
        </w:rPr>
      </w:pPr>
    </w:p>
    <w:tbl>
      <w:tblPr>
        <w:tblStyle w:val="Style12"/>
        <w:tblW w:w="10705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05"/>
      </w:tblGrid>
      <w:tr w:rsidR="006C3982" w:rsidRPr="00653E93" w14:paraId="60150D6E" w14:textId="77777777">
        <w:trPr>
          <w:trHeight w:val="240"/>
        </w:trPr>
        <w:tc>
          <w:tcPr>
            <w:tcW w:w="10705" w:type="dxa"/>
            <w:shd w:val="clear" w:color="auto" w:fill="004080"/>
          </w:tcPr>
          <w:p w14:paraId="41BBE38A" w14:textId="77777777" w:rsidR="006C3982" w:rsidRPr="00653E93" w:rsidRDefault="007476F9">
            <w:bookmarkStart w:id="100" w:name="idx_plan"/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Planteamiento de situación actual</w:t>
            </w:r>
            <w:bookmarkEnd w:id="100"/>
          </w:p>
        </w:tc>
      </w:tr>
      <w:tr w:rsidR="006C3982" w:rsidRPr="00653E93" w14:paraId="3711FC36" w14:textId="77777777">
        <w:trPr>
          <w:trHeight w:val="240"/>
        </w:trPr>
        <w:tc>
          <w:tcPr>
            <w:tcW w:w="10705" w:type="dxa"/>
          </w:tcPr>
          <w:p w14:paraId="630C07D5" w14:textId="77777777" w:rsidR="00D4119F" w:rsidRPr="00653E93" w:rsidRDefault="00D4119F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sz w:val="21"/>
              </w:rPr>
              <w:t>El portal actual de socios (test-dev.puntoxpress.com) permite consultar el dashboard de recaudación y las transacciones, pero presenta limitaciones: la navegación y jerarquía visual generan confusión (títulos duplicados, controles desalineados, tablas que se cortan en pantallas pequeñas); las gráficas no comunican la unidad de medida (no se distingue si son montos en dólares o cantidades de transacciones); no existe un módulo para que un colector genere links de pago con QR y cobre a distancia facturas o deudas; no existe un modelo de perfiles que restrinja qué secciones ve cada usuario dentro de una cuenta; y el mismo portal debe servir tanto a socios afiliados como a colectores con múltiples servicios, reconfigurándose por cuenta.</w:t>
            </w:r>
          </w:p>
          <w:p>
            <w:r>
              <w:rPr>
                <w:sz w:val="21"/>
              </w:rPr>
              <w:t>Se construyó un prototipo navegable (prototipo-portal-socios.html, adjunto) que es la fuente de verdad de este requerimiento: todos los comportamientos, textos, estados y estilos descritos están implementados en él. Las figuras de este documento son capturas de ese prototipo.</w:t>
            </w:r>
          </w:p>
        </w:tc>
      </w:tr>
      <w:tr w:rsidR="006C3982" w:rsidRPr="00653E93" w14:paraId="130A2171" w14:textId="77777777">
        <w:trPr>
          <w:trHeight w:val="260"/>
        </w:trPr>
        <w:tc>
          <w:tcPr>
            <w:tcW w:w="10705" w:type="dxa"/>
          </w:tcPr>
          <w:p w14:paraId="48056BEC" w14:textId="77777777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74816B30" w14:textId="23F9F990" w:rsidR="005127BE" w:rsidRPr="00653E93" w:rsidRDefault="005127BE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47E7DD28" w14:textId="251C2B30" w:rsidR="005127BE" w:rsidRPr="00653E93" w:rsidRDefault="005127BE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44B19A3E" w14:textId="6C771323" w:rsidR="005127BE" w:rsidRPr="00653E93" w:rsidRDefault="005127BE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2F262505" w14:textId="6566FBAB" w:rsidR="005127BE" w:rsidRPr="00653E93" w:rsidRDefault="005127BE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3AD1BA92" w14:textId="1AEF38A6" w:rsidR="005127BE" w:rsidRDefault="005127BE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657FD995" w14:textId="77777777" w:rsidR="00653E93" w:rsidRDefault="00653E93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2E03B5D3" w14:textId="77777777" w:rsidR="00653E93" w:rsidRDefault="00653E93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79824C65" w14:textId="77777777" w:rsidR="00653E93" w:rsidRPr="00653E93" w:rsidRDefault="00653E93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665D0853" w14:textId="1A15580F" w:rsidR="005127BE" w:rsidRPr="00653E93" w:rsidRDefault="005127BE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3FDFED40" w14:textId="0C9D73C4" w:rsidR="005127BE" w:rsidRPr="00653E93" w:rsidRDefault="005127BE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374289A0" w14:textId="77777777" w:rsidR="005127BE" w:rsidRDefault="005127BE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690566A9" w14:textId="77777777" w:rsidR="00485550" w:rsidRDefault="00485550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p w14:paraId="32604E1A" w14:textId="77777777" w:rsidR="00485550" w:rsidRPr="00653E93" w:rsidRDefault="00485550" w:rsidP="00D4119F">
      <w:pPr>
        <w:widowControl w:val="0"/>
        <w:spacing w:after="0"/>
        <w:rPr>
          <w:rFonts w:ascii="Aptos" w:hAnsi="Aptos"/>
          <w:sz w:val="20"/>
          <w:szCs w:val="20"/>
        </w:rPr>
      </w:pPr>
    </w:p>
    <w:tbl>
      <w:tblPr>
        <w:tblStyle w:val="Style13"/>
        <w:tblW w:w="10605" w:type="dxa"/>
        <w:tblInd w:w="-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05"/>
      </w:tblGrid>
      <w:tr w:rsidR="006C3982" w:rsidRPr="00653E93" w14:paraId="5F1C5650" w14:textId="77777777">
        <w:trPr>
          <w:trHeight w:val="240"/>
        </w:trPr>
        <w:tc>
          <w:tcPr>
            <w:tcW w:w="10605" w:type="dxa"/>
            <w:shd w:val="clear" w:color="auto" w:fill="004080"/>
          </w:tcPr>
          <w:p w14:paraId="4F4682FF" w14:textId="77777777" w:rsidR="006C3982" w:rsidRPr="00653E93" w:rsidRDefault="007476F9">
            <w:bookmarkStart w:id="101" w:name="idx_func"/>
            <w:pPr>
              <w:spacing w:after="0" w:line="240" w:lineRule="auto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Funcionalidad necesaria</w:t>
            </w:r>
            <w:bookmarkEnd w:id="101"/>
          </w:p>
        </w:tc>
      </w:tr>
      <w:tr w:rsidR="006C3982" w:rsidRPr="00653E93" w14:paraId="20A6490D" w14:textId="77777777">
        <w:trPr>
          <w:trHeight w:val="4600"/>
        </w:trPr>
        <w:tc>
          <w:tcPr>
            <w:tcW w:w="10605" w:type="dxa"/>
          </w:tcPr>
          <w:p w14:paraId="5106C849" w14:textId="77777777" w:rsidR="0099023A" w:rsidRPr="00653E93" w:rsidRDefault="0099023A" w:rsidP="004A0C51">
            <w:pPr>
              <w:spacing w:after="0" w:line="240" w:lineRule="auto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b/>
                <w:i w:val="0"/>
                <w:sz w:val="21"/>
              </w:rPr>
              <w:t>PORTAL WEB DE SOCIOS Y COLECTORES</w:t>
            </w:r>
          </w:p>
          <w:p>
            <w:r>
              <w:rPr>
                <w:b w:val="0"/>
                <w:i w:val="0"/>
                <w:sz w:val="21"/>
              </w:rPr>
              <w:t>Stack de referencia: el portal actual está construido en Next.js (App Router) con Tailwind CSS e íconos Lucide; el rediseño debe implementarse sobre ese mismo stack. El prototipo usa tokens equivalentes a Tailwind para que la traducción sea 1:1. Cada punto que requiere integración real con backend se marca como [API].</w:t>
            </w:r>
          </w:p>
          <w:p>
            <w:r>
              <w:rPr>
                <w:b/>
                <w:sz w:val="21"/>
              </w:rPr>
              <w:t xml:space="preserve">Priorización del desarrollo: </w:t>
            </w:r>
            <w:r>
              <w:rPr>
                <w:sz w:val="21"/>
              </w:rPr>
              <w:t>la funcionalidad NUEVA “Paylink 1:1” (módulo Links de pago, numeral 4, junto con la base necesaria de autenticación y estructura, numerales 1–3) es la PRIORIDAD 1 de este desarrollo. El rediseño de Transacciones y del Dashboard de inicio (numerales 5, 6 y 7) es la PRIORIDAD 2.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3535"/>
              <w:gridCol w:w="3535"/>
              <w:gridCol w:w="3535"/>
            </w:tblGrid>
            <w:tr>
              <w:tc>
                <w:tcPr>
                  <w:tcW w:type="dxa" w:w="1296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Prioridad</w:t>
                  </w:r>
                </w:p>
              </w:tc>
              <w:tc>
                <w:tcPr>
                  <w:tcW w:type="dxa" w:w="6768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Alcance</w:t>
                  </w:r>
                </w:p>
              </w:tc>
              <w:tc>
                <w:tcPr>
                  <w:tcW w:type="dxa" w:w="2016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Tipo</w:t>
                  </w:r>
                </w:p>
              </w:tc>
            </w:tr>
            <w:tr>
              <w:tc>
                <w:tcPr>
                  <w:tcW w:type="dxa" w:w="1296"/>
                </w:tcPr>
                <w:p>
                  <w:r>
                    <w:rPr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6768"/>
                </w:tcPr>
                <w:p>
                  <w:r>
                    <w:rPr>
                      <w:b w:val="0"/>
                      <w:sz w:val="18"/>
                    </w:rPr>
                    <w:t>Paylink 1:1 — módulo Links de pago (numeral 4) + autenticación y estructura base (numerales 1–3)</w:t>
                  </w:r>
                </w:p>
              </w:tc>
              <w:tc>
                <w:tcPr>
                  <w:tcW w:type="dxa" w:w="2016"/>
                </w:tcPr>
                <w:p>
                  <w:r>
                    <w:rPr>
                      <w:b w:val="0"/>
                      <w:sz w:val="18"/>
                    </w:rPr>
                    <w:t>Funcionalidad nueva</w:t>
                  </w:r>
                </w:p>
              </w:tc>
            </w:tr>
            <w:tr>
              <w:tc>
                <w:tcPr>
                  <w:tcW w:type="dxa" w:w="1296"/>
                </w:tcPr>
                <w:p>
                  <w:r>
                    <w:rPr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type="dxa" w:w="6768"/>
                </w:tcPr>
                <w:p>
                  <w:r>
                    <w:rPr>
                      <w:b w:val="0"/>
                      <w:sz w:val="18"/>
                    </w:rPr>
                    <w:t>Rediseño de Transacciones y Dashboard de inicio (numerales 5, 6 y 7)</w:t>
                  </w:r>
                </w:p>
              </w:tc>
              <w:tc>
                <w:tcPr>
                  <w:tcW w:type="dxa" w:w="2016"/>
                </w:tcPr>
                <w:p>
                  <w:r>
                    <w:rPr>
                      <w:b w:val="0"/>
                      <w:sz w:val="18"/>
                    </w:rPr>
                    <w:t>Rediseño</w:t>
                  </w:r>
                </w:p>
              </w:tc>
            </w:tr>
          </w:tbl>
          <w:p/>
          <w:p>
            <w:bookmarkStart w:id="102" w:name="idx_p1"/>
            <w:pPr>
              <w:spacing w:before="260" w:after="120"/>
            </w:pPr>
            <w:r>
              <w:rPr>
                <w:b/>
                <w:sz w:val="24"/>
                <w:color w:val="16357E"/>
              </w:rPr>
              <w:t>PRIORIDAD 1 — PAYLINK 1:1 (FUNCIONALIDAD NUEVA) Y BASE DEL PORTAL</w:t>
            </w:r>
            <w:bookmarkEnd w:id="102"/>
          </w:p>
          <w:p>
            <w:r>
              <w:rPr>
                <w:b/>
                <w:sz w:val="21"/>
              </w:rPr>
              <w:t xml:space="preserve">1. Modelo de cuentas, perfiles y permisos: </w:t>
            </w:r>
            <w:r>
              <w:rPr>
                <w:b w:val="0"/>
                <w:sz w:val="21"/>
              </w:rPr>
              <w:t>cada usuario tiene UNA única cuenta asignada y UN único perfil (rol); ni la cuenta ni el rol son seleccionables desde la interfaz: los asigna administración en el sistema [API]. Tipos de cuenta: Socio afiliado (ej. Farmacias Económicas; servicios Colecturía, Corresponsalía y Salidas de efectivo; Recargas puede estar no habilitado y se muestra en $0.00 con etiqueta “No habilitado”, sin acción de activación) y Colector (ej. Telecomunicaciones El Salvador; servicios Telefonía, Internet, Cable TV y Recargas; único tipo de cuenta con acceso a Links de pago). A un usuario de una cuenta de colector se le asigna uno de tres perfiles, que gobiernan la navegación completa: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2121"/>
              <w:gridCol w:w="2121"/>
              <w:gridCol w:w="2121"/>
              <w:gridCol w:w="2121"/>
              <w:gridCol w:w="2121"/>
            </w:tblGrid>
            <w:tr>
              <w:tc>
                <w:tcPr>
                  <w:tcW w:type="dxa" w:w="1584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Perfil</w:t>
                  </w:r>
                </w:p>
              </w:tc>
              <w:tc>
                <w:tcPr>
                  <w:tcW w:type="dxa" w:w="1152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Inicio</w:t>
                  </w:r>
                </w:p>
              </w:tc>
              <w:tc>
                <w:tcPr>
                  <w:tcW w:type="dxa" w:w="1512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Transacciones</w:t>
                  </w:r>
                </w:p>
              </w:tc>
              <w:tc>
                <w:tcPr>
                  <w:tcW w:type="dxa" w:w="1512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Links de pago</w:t>
                  </w:r>
                </w:p>
              </w:tc>
              <w:tc>
                <w:tcPr>
                  <w:tcW w:type="dxa" w:w="3744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Alcance en Links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>
                    <w:rPr>
                      <w:sz w:val="18"/>
                    </w:rPr>
                    <w:t>Administrador</w:t>
                  </w:r>
                </w:p>
              </w:tc>
              <w:tc>
                <w:tcPr>
                  <w:tcW w:type="dxa" w:w="1152"/>
                </w:tcPr>
                <w:p>
                  <w:r>
                    <w:rPr>
                      <w:sz w:val="18"/>
                    </w:rPr>
                    <w:t>Sí</w:t>
                  </w:r>
                </w:p>
              </w:tc>
              <w:tc>
                <w:tcPr>
                  <w:tcW w:type="dxa" w:w="1512"/>
                </w:tcPr>
                <w:p>
                  <w:r>
                    <w:rPr>
                      <w:sz w:val="18"/>
                    </w:rPr>
                    <w:t>Sí</w:t>
                  </w:r>
                </w:p>
              </w:tc>
              <w:tc>
                <w:tcPr>
                  <w:tcW w:type="dxa" w:w="1512"/>
                </w:tcPr>
                <w:p>
                  <w:r>
                    <w:rPr>
                      <w:sz w:val="18"/>
                    </w:rPr>
                    <w:t>Sí</w:t>
                  </w:r>
                </w:p>
              </w:tc>
              <w:tc>
                <w:tcPr>
                  <w:tcW w:type="dxa" w:w="3744"/>
                </w:tcPr>
                <w:p>
                  <w:r>
                    <w:rPr>
                      <w:sz w:val="18"/>
                    </w:rPr>
                    <w:t>Todos los links del equipo, con columna “Generado por”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>
                    <w:rPr>
                      <w:sz w:val="18"/>
                    </w:rPr>
                    <w:t>Supervisor</w:t>
                  </w:r>
                </w:p>
              </w:tc>
              <w:tc>
                <w:tcPr>
                  <w:tcW w:type="dxa" w:w="1152"/>
                </w:tcPr>
                <w:p>
                  <w:r>
                    <w:rPr>
                      <w:sz w:val="18"/>
                    </w:rPr>
                    <w:t>No</w:t>
                  </w:r>
                </w:p>
              </w:tc>
              <w:tc>
                <w:tcPr>
                  <w:tcW w:type="dxa" w:w="1512"/>
                </w:tcPr>
                <w:p>
                  <w:r>
                    <w:rPr>
                      <w:sz w:val="18"/>
                    </w:rPr>
                    <w:t>No</w:t>
                  </w:r>
                </w:p>
              </w:tc>
              <w:tc>
                <w:tcPr>
                  <w:tcW w:type="dxa" w:w="1512"/>
                </w:tcPr>
                <w:p>
                  <w:r>
                    <w:rPr>
                      <w:sz w:val="18"/>
                    </w:rPr>
                    <w:t>Sí</w:t>
                  </w:r>
                </w:p>
              </w:tc>
              <w:tc>
                <w:tcPr>
                  <w:tcW w:type="dxa" w:w="3744"/>
                </w:tcPr>
                <w:p>
                  <w:r>
                    <w:rPr>
                      <w:sz w:val="18"/>
                    </w:rPr>
                    <w:t>Todos los links del equipo, con columna “Generado por”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>
                    <w:rPr>
                      <w:sz w:val="18"/>
                    </w:rPr>
                    <w:t>Cobrador</w:t>
                  </w:r>
                </w:p>
              </w:tc>
              <w:tc>
                <w:tcPr>
                  <w:tcW w:type="dxa" w:w="1152"/>
                </w:tcPr>
                <w:p>
                  <w:r>
                    <w:rPr>
                      <w:sz w:val="18"/>
                    </w:rPr>
                    <w:t>No</w:t>
                  </w:r>
                </w:p>
              </w:tc>
              <w:tc>
                <w:tcPr>
                  <w:tcW w:type="dxa" w:w="1512"/>
                </w:tcPr>
                <w:p>
                  <w:r>
                    <w:rPr>
                      <w:sz w:val="18"/>
                    </w:rPr>
                    <w:t>No</w:t>
                  </w:r>
                </w:p>
              </w:tc>
              <w:tc>
                <w:tcPr>
                  <w:tcW w:type="dxa" w:w="1512"/>
                </w:tcPr>
                <w:p>
                  <w:r>
                    <w:rPr>
                      <w:sz w:val="18"/>
                    </w:rPr>
                    <w:t>Sí</w:t>
                  </w:r>
                </w:p>
              </w:tc>
              <w:tc>
                <w:tcPr>
                  <w:tcW w:type="dxa" w:w="3744"/>
                </w:tcPr>
                <w:p>
                  <w:r>
                    <w:rPr>
                      <w:sz w:val="18"/>
                    </w:rPr>
                    <w:t>Solo sus propios links; sin columna “Generado por”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>
                    <w:rPr>
                      <w:sz w:val="18"/>
                    </w:rPr>
                    <w:t>(Socio afiliado)</w:t>
                  </w:r>
                </w:p>
              </w:tc>
              <w:tc>
                <w:tcPr>
                  <w:tcW w:type="dxa" w:w="1152"/>
                </w:tcPr>
                <w:p>
                  <w:r>
                    <w:rPr>
                      <w:sz w:val="18"/>
                    </w:rPr>
                    <w:t>Sí</w:t>
                  </w:r>
                </w:p>
              </w:tc>
              <w:tc>
                <w:tcPr>
                  <w:tcW w:type="dxa" w:w="1512"/>
                </w:tcPr>
                <w:p>
                  <w:r>
                    <w:rPr>
                      <w:sz w:val="18"/>
                    </w:rPr>
                    <w:t>Sí</w:t>
                  </w:r>
                </w:p>
              </w:tc>
              <w:tc>
                <w:tcPr>
                  <w:tcW w:type="dxa" w:w="1512"/>
                </w:tcPr>
                <w:p>
                  <w:r>
                    <w:rPr>
                      <w:sz w:val="18"/>
                    </w:rPr>
                    <w:t>No existe en el menú</w:t>
                  </w:r>
                </w:p>
              </w:tc>
              <w:tc>
                <w:tcPr>
                  <w:tcW w:type="dxa" w:w="3744"/>
                </w:tcPr>
                <w:p>
                  <w:r>
                    <w:rPr>
                      <w:sz w:val="18"/>
                    </w:rPr>
                    <w:t>—</w:t>
                  </w:r>
                </w:p>
              </w:tc>
            </w:tr>
          </w:tbl>
          <w:p/>
          <w:p/>
          <w:p>
            <w:r>
              <w:rPr>
                <w:b w:val="0"/>
                <w:i w:val="0"/>
                <w:sz w:val="21"/>
              </w:rPr>
              <w:t>Reglas derivadas: (a) los ítems no permitidos se ocultan del menú, no se deshabilitan; (b) si una sección del menú (GENERAL o SERVICIOS) queda sin ítems visibles, su título también se oculta; (c) si al cambiar de cuenta o de perfil la página actual deja de estar permitida, el sistema redirige a Links de pago (perfil restringido) o a Inicio; (d) el selector de cuenta y de perfil vive en el bloque de usuario al pie del sidebar; cambiar cuenta o perfil recarga los datos con skeleton y confirma con un toast.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menu-cuentas-perfil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1. Menú de cuenta: cambio de cuenta, perfiles del colector y acceso al perfil.</w:t>
            </w:r>
          </w:p>
          <w:p>
            <w:r>
              <w:rPr>
                <w:b/>
                <w:sz w:val="21"/>
              </w:rPr>
              <w:t xml:space="preserve">Nota — alcance solo del prototipo: </w:t>
            </w:r>
            <w:r>
              <w:rPr>
                <w:sz w:val="21"/>
              </w:rPr>
              <w:t>el selector de cuenta y el selector de perfil que se muestran en este menú existen únicamente para fines de demostración del prototipo, para poder navegar entre los escenarios (socio afiliado ↔ colector, y Administrador / Supervisor / Cobrador) sin múltiples usuarios de prueba. En el producto real estas opciones NO deben implementarse: cada usuario tiene UNA única cuenta asignada y UN único rol, y ambos los determina la asignación del usuario en el sistema [API]; ninguno de los dos es seleccionable desde la interfaz.</w:t>
            </w:r>
          </w:p>
          <w:p>
            <w:r>
              <w:rPr>
                <w:b/>
                <w:sz w:val="21"/>
              </w:rPr>
              <w:t xml:space="preserve">2. Autenticación en dos pasos: </w:t>
            </w:r>
            <w:r>
              <w:rPr>
                <w:b w:val="0"/>
                <w:sz w:val="21"/>
              </w:rPr>
              <w:t>Paso 1, correo y contraseña con mostrar/ocultar y validación inline por campo (borde rojo y mensaje bajo el campo). “¿Olvidaste tu contraseña?” abre la recuperación en la misma tarjeta. [API] valida credenciales y envía un código de 6 dígitos al correo. Paso 2, tarjeta de verificación que muestra el correo del usuario y 6 casillas: solo dígitos, auto-avance al escribir, Backspace regresa a la casilla anterior, pegar un código de 6 dígitos lo distribuye, Enter verifica. “Verificar código” permanece deshabilitado hasta completar los 6 dígitos. Acciones: Volver y Reenviar código [API].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login-err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2. Paso 1 con validación inline por campo.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ot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3. Paso 2: código de verificación con auto-avance.</w:t>
            </w:r>
          </w:p>
          <w:p>
            <w:r>
              <w:rPr>
                <w:b/>
                <w:sz w:val="21"/>
              </w:rPr>
              <w:t xml:space="preserve">3. Estructura y navegación: </w:t>
            </w:r>
            <w:r>
              <w:rPr>
                <w:b w:val="0"/>
                <w:sz w:val="21"/>
              </w:rPr>
              <w:t>sidebar en reposo como riel de 68 px (solo íconos); al posar el cursor o recibir foco de teclado se expande a 248 px superponiéndose al contenido (el contenido no se desplaza), con etiquetas en fade y transición de 220 ms; se colapsa al retirar el cursor o tras hacer clic en un ítem. Marca única: logo redondo (círculo azul #2C7FFF con wordmark blanco) arriba del sidebar. En escritorio no hay barra superior: el título vive en el contenido de cada página. Bloque de usuario al pie: avatar con iniciales y color por cuenta (FE azul #1F6FCE, TE rojo #D03B3B), nombre y perfil; al pulsarlo abre el menú de cuenta; ícono separado para cerrar sesión.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ash-ho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4. Riel colapsado y dashboard con rango “Hoy”.</w:t>
            </w:r>
          </w:p>
          <w:p>
            <w:r>
              <w:rPr>
                <w:b/>
                <w:sz w:val="21"/>
              </w:rPr>
              <w:t xml:space="preserve">4. Paylink 1:1 — Links de pago (funcionalidad nueva; solo cuentas de colector): </w:t>
            </w:r>
            <w:r>
              <w:rPr>
                <w:b w:val="0"/>
                <w:sz w:val="21"/>
              </w:rPr>
              <w:t>caso de uso: un cobrador o supervisor necesita cobrar una factura o deuda a un cliente (persona natural) y le comparte un link de pago o su QR. El sistema únicamente GENERA el link; el usuario lo copia y lo comparte por el canal que prefiera (los textos de la interfaz no mencionan esta mecánica). La página muestra tres métricas cuyo alcance depende del perfil (equipo para Administrador/Supervisor, “mis links” para Cobrador): Cobrado con links (30 días), Pendiente de pago y Links activos; y la tabla: Servicio (con Ref. y fecha de creación como sublínea), Cliente, Monto, Expira (fecha o “—”), Estado (Pendiente/Pagado/Vencido), Generado por (solo Admin/Supervisor; los propios como “Tú (Nombre)”) y Acciones: copiar link, ver QR y eliminar. Eliminar quita el link (deja de ser pagable) y confirma con toast; Ver QR reabre el comprobante de cualquier link.</w:t>
            </w:r>
          </w:p>
          <w:p>
            <w:r>
              <w:rPr>
                <w:b/>
                <w:sz w:val="21"/>
              </w:rPr>
              <w:t xml:space="preserve">Parámetro de edición del monto (por colector y por servicio): </w:t>
            </w:r>
            <w:r>
              <w:rPr>
                <w:sz w:val="21"/>
              </w:rPr>
              <w:t>la posibilidad de editar el monto que devuelve el sistema NO será igual para todos los colectores: habrá colectores que permitan que el cobrador ajuste el monto (p. ej. abonos parciales) y otros que exijan cobrar exactamente el monto consultado. Por ello, la edición del monto será un parámetro de configuración por colector y por servicio, solicitado a IT [configuración]: con el parámetro ACTIVO, el campo Monto se muestra prellenado y editable (comportamiento que muestra el prototipo, con mínimo $0.25); con el parámetro INACTIVO, el campo se muestra bloqueado (solo lectura) con el monto exacto que devolvió el sistema y el paso 2 no permite modificarlo.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links-admi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5. Vista Administrador/Supervisor: todos los links con “Generado por”.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links-cobrador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6. Vista Cobrador: solo sus links, sin la columna; menú reducido a Links.</w:t>
            </w:r>
          </w:p>
          <w:p>
            <w:r>
              <w:rPr>
                <w:b w:val="0"/>
                <w:i w:val="0"/>
                <w:sz w:val="21"/>
              </w:rPr>
              <w:t>Creación — drawer lateral derecho (470 px, altura completa, animación 260 ms) con stepper de 3 pasos; el pie tiene siempre UNA acción primaria según el paso: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2651"/>
              <w:gridCol w:w="2651"/>
              <w:gridCol w:w="2651"/>
              <w:gridCol w:w="2651"/>
            </w:tblGrid>
            <w:tr>
              <w:tc>
                <w:tcPr>
                  <w:tcW w:type="dxa" w:w="1368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Paso</w:t>
                  </w:r>
                </w:p>
              </w:tc>
              <w:tc>
                <w:tcPr>
                  <w:tcW w:type="dxa" w:w="3888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Contenido</w:t>
                  </w:r>
                </w:p>
              </w:tc>
              <w:tc>
                <w:tcPr>
                  <w:tcW w:type="dxa" w:w="2160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Acción primaria</w:t>
                  </w:r>
                </w:p>
              </w:tc>
              <w:tc>
                <w:tcPr>
                  <w:tcW w:type="dxa" w:w="2088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Reglas</w:t>
                  </w:r>
                </w:p>
              </w:tc>
            </w:tr>
            <w:tr>
              <w:tc>
                <w:tcPr>
                  <w:tcW w:type="dxa" w:w="1368"/>
                </w:tcPr>
                <w:p>
                  <w:r>
                    <w:rPr>
                      <w:sz w:val="18"/>
                    </w:rPr>
                    <w:t>1. Referencia</w:t>
                  </w:r>
                </w:p>
              </w:tc>
              <w:tc>
                <w:tcPr>
                  <w:tcW w:type="dxa" w:w="3888"/>
                </w:tcPr>
                <w:p>
                  <w:r>
                    <w:rPr>
                      <w:sz w:val="18"/>
                    </w:rPr>
                    <w:t>Select de Servicio (los de la cuenta) + campo “Referencia del cliente”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sz w:val="18"/>
                    </w:rPr>
                    <w:t>“Buscar referencia” (deshabilitada hasta escribir; “Buscando…” durante la consulta)</w:t>
                  </w:r>
                </w:p>
              </w:tc>
              <w:tc>
                <w:tcPr>
                  <w:tcW w:type="dxa" w:w="2088"/>
                </w:tcPr>
                <w:p>
                  <w:r>
                    <w:rPr>
                      <w:sz w:val="18"/>
                    </w:rPr>
                    <w:t>Enter también busca; referencia vacía → error inline</w:t>
                  </w:r>
                </w:p>
              </w:tc>
            </w:tr>
            <w:tr>
              <w:tc>
                <w:tcPr>
                  <w:tcW w:type="dxa" w:w="1368"/>
                </w:tcPr>
                <w:p>
                  <w:r>
                    <w:rPr>
                      <w:sz w:val="18"/>
                    </w:rPr>
                    <w:t>2. Monto y detalle</w:t>
                  </w:r>
                </w:p>
              </w:tc>
              <w:tc>
                <w:tcPr>
                  <w:tcW w:type="dxa" w:w="3888"/>
                </w:tcPr>
                <w:p>
                  <w:r>
                    <w:rPr>
                      <w:sz w:val="18"/>
                    </w:rPr>
                    <w:t>[API] devuelve el nombre del Cliente (solo lectura) y el Monto a pagar prellenado; editable o bloqueado según el parámetro por colector y servicio (ver “Parámetro de edición del monto”); Fecha de expiración (date picker OPCIONAL, min hoy); Mensaje libre para el cliente (opcional, 120 caracteres)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sz w:val="18"/>
                    </w:rPr>
                    <w:t>“Generar link”</w:t>
                  </w:r>
                </w:p>
              </w:tc>
              <w:tc>
                <w:tcPr>
                  <w:tcW w:type="dxa" w:w="2088"/>
                </w:tcPr>
                <w:p>
                  <w:r>
                    <w:rPr>
                      <w:sz w:val="18"/>
                    </w:rPr>
                    <w:t>Monto mínimo $0.25 con error inline; si el usuario edita la Referencia, el paso 2 se descarta y regresa al paso 1</w:t>
                  </w:r>
                </w:p>
              </w:tc>
            </w:tr>
            <w:tr>
              <w:tc>
                <w:tcPr>
                  <w:tcW w:type="dxa" w:w="1368"/>
                </w:tcPr>
                <w:p>
                  <w:r>
                    <w:rPr>
                      <w:sz w:val="18"/>
                    </w:rPr>
                    <w:t>3. Link y QR</w:t>
                  </w:r>
                </w:p>
              </w:tc>
              <w:tc>
                <w:tcPr>
                  <w:tcW w:type="dxa" w:w="3888"/>
                </w:tcPr>
                <w:p>
                  <w:r>
                    <w:rPr>
                      <w:sz w:val="18"/>
                    </w:rPr>
                    <w:t>“¡El link de pago ha sido generado!” + resumen (Referencia, Servicio, Cliente, Expira o “Sin expiración”, Monto) + URL corta pex.sv/p/CÓDIGO + QR escaneable + Copiar link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sz w:val="18"/>
                    </w:rPr>
                    <w:t>“Listo” (cierra) y “Crear otro”</w:t>
                  </w:r>
                </w:p>
              </w:tc>
              <w:tc>
                <w:tcPr>
                  <w:tcW w:type="dxa" w:w="2088"/>
                </w:tcPr>
                <w:p>
                  <w:r>
                    <w:rPr>
                      <w:sz w:val="18"/>
                    </w:rPr>
                    <w:t>El link recién creado ya aparece en la tabla, visible detrás del drawer</w:t>
                  </w:r>
                </w:p>
              </w:tc>
            </w:tr>
          </w:tbl>
          <w:p/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drawer-paso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7. Drawer paso 1: servicio y referencia; única acción primaria.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drawer-paso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8. Drawer paso 2: cliente del sistema, monto editable, expiración opcional y mensaje.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drawer-exito-qr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9. Drawer paso 3: resumen, URL y QR; el link ya aparece en la tabla.</w:t>
            </w:r>
          </w:p>
          <w:p>
            <w:bookmarkStart w:id="103" w:name="idx_p2"/>
            <w:pPr>
              <w:spacing w:before="260" w:after="120"/>
            </w:pPr>
            <w:r>
              <w:rPr>
                <w:b/>
                <w:sz w:val="24"/>
                <w:color w:val="16357E"/>
              </w:rPr>
              <w:t>PRIORIDAD 2 — REDISEÑO DE TRANSACCIONES Y DASHBOARD</w:t>
            </w:r>
            <w:bookmarkEnd w:id="103"/>
          </w:p>
          <w:p>
            <w:r>
              <w:rPr>
                <w:b/>
                <w:sz w:val="21"/>
              </w:rPr>
              <w:t xml:space="preserve">5. Selector de rango de fechas: </w:t>
            </w:r>
            <w:r>
              <w:rPr>
                <w:b w:val="0"/>
                <w:sz w:val="21"/>
              </w:rPr>
              <w:t>control único reutilizable. En Inicio se ubica a la derecha del título; en Transacciones es el PRIMER elemento de la barra de filtros (forma parte del query); no existe en Links de pago ni en Perfil. El menú lista los presets con check en el activo, la opción “Personalizado…” y el pie fijo “Historial disponible: últimos 3 meses (desde el 26 abr 2026)”. Comportamiento por opción (fecha “hoy” del prototipo: 25/07/2026):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ange-po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10. Menú del selector de rango con la nota de historial.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2651"/>
              <w:gridCol w:w="2651"/>
              <w:gridCol w:w="2651"/>
              <w:gridCol w:w="2651"/>
            </w:tblGrid>
            <w:tr>
              <w:tc>
                <w:tcPr>
                  <w:tcW w:type="dxa" w:w="1440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Opción</w:t>
                  </w:r>
                </w:p>
              </w:tc>
              <w:tc>
                <w:tcPr>
                  <w:tcW w:type="dxa" w:w="2664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Rango consultado</w:t>
                  </w:r>
                </w:p>
              </w:tc>
              <w:tc>
                <w:tcPr>
                  <w:tcW w:type="dxa" w:w="2160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Agrupación de la gráfica</w:t>
                  </w:r>
                </w:p>
              </w:tc>
              <w:tc>
                <w:tcPr>
                  <w:tcW w:type="dxa" w:w="3240"/>
                  <w:shd w:val="clear" w:fill="EEF1F6"/>
                </w:tcPr>
                <w:p>
                  <w:r>
                    <w:rPr>
                      <w:b/>
                      <w:sz w:val="18"/>
                    </w:rPr>
                    <w:t>Chip de comparación en KPIs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18"/>
                    </w:rPr>
                    <w:t>Hoy</w:t>
                  </w:r>
                </w:p>
              </w:tc>
              <w:tc>
                <w:tcPr>
                  <w:tcW w:type="dxa" w:w="2664"/>
                </w:tcPr>
                <w:p>
                  <w:r>
                    <w:rPr>
                      <w:sz w:val="18"/>
                    </w:rPr>
                    <w:t>De 12 a.m. a la hora actual; la serie se corta en la hora en curso (sin tramo muerto)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sz w:val="18"/>
                    </w:rPr>
                    <w:t>Por hora (12 a.m., 2 a.m., …)</w:t>
                  </w:r>
                </w:p>
              </w:tc>
              <w:tc>
                <w:tcPr>
                  <w:tcW w:type="dxa" w:w="3240"/>
                </w:tcPr>
                <w:p>
                  <w:r>
                    <w:rPr>
                      <w:sz w:val="18"/>
                    </w:rPr>
                    <w:t>Neutro gris “+3.1% · día en curso · vs. ayer”: al comparar un día incompleto NO se pinta verde/rojo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18"/>
                    </w:rPr>
                    <w:t>Últimos 7 días</w:t>
                  </w:r>
                </w:p>
              </w:tc>
              <w:tc>
                <w:tcPr>
                  <w:tcW w:type="dxa" w:w="2664"/>
                </w:tcPr>
                <w:p>
                  <w:r>
                    <w:rPr>
                      <w:sz w:val="18"/>
                    </w:rPr>
                    <w:t>Hoy y los 6 días anteriores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sz w:val="18"/>
                    </w:rPr>
                    <w:t>Por día (dom 19 … sáb 25)</w:t>
                  </w:r>
                </w:p>
              </w:tc>
              <w:tc>
                <w:tcPr>
                  <w:tcW w:type="dxa" w:w="3240"/>
                </w:tcPr>
                <w:p>
                  <w:r>
                    <w:rPr>
                      <w:sz w:val="18"/>
                    </w:rPr>
                    <w:t>Verde (▲) o rojo (▼) vs. los 7 días previos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18"/>
                    </w:rPr>
                    <w:t>Este mes</w:t>
                  </w:r>
                </w:p>
              </w:tc>
              <w:tc>
                <w:tcPr>
                  <w:tcW w:type="dxa" w:w="2664"/>
                </w:tcPr>
                <w:p>
                  <w:r>
                    <w:rPr>
                      <w:sz w:val="18"/>
                    </w:rPr>
                    <w:t>Del 1 del mes a hoy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sz w:val="18"/>
                    </w:rPr>
                    <w:t>Por día (1 jul … 25 jul)</w:t>
                  </w:r>
                </w:p>
              </w:tc>
              <w:tc>
                <w:tcPr>
                  <w:tcW w:type="dxa" w:w="3240"/>
                </w:tcPr>
                <w:p>
                  <w:r>
                    <w:rPr>
                      <w:sz w:val="18"/>
                    </w:rPr>
                    <w:t>Verde/rojo vs. el mes anterior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18"/>
                    </w:rPr>
                    <w:t>Últimos 3 meses</w:t>
                  </w:r>
                </w:p>
              </w:tc>
              <w:tc>
                <w:tcPr>
                  <w:tcW w:type="dxa" w:w="2664"/>
                </w:tcPr>
                <w:p>
                  <w:r>
                    <w:rPr>
                      <w:sz w:val="18"/>
                    </w:rPr>
                    <w:t>13 semanas hacia atrás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sz w:val="18"/>
                    </w:rPr>
                    <w:t>Por semana (sem 18 … sem 30)</w:t>
                  </w:r>
                </w:p>
              </w:tc>
              <w:tc>
                <w:tcPr>
                  <w:tcW w:type="dxa" w:w="3240"/>
                </w:tcPr>
                <w:p>
                  <w:r>
                    <w:rPr>
                      <w:sz w:val="18"/>
                    </w:rPr>
                    <w:t>NO se muestra: el periodo previo queda fuera del historial; la fila del chip no se renderiza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18"/>
                    </w:rPr>
                    <w:t>Personalizado…</w:t>
                  </w:r>
                </w:p>
              </w:tc>
              <w:tc>
                <w:tcPr>
                  <w:tcW w:type="dxa" w:w="2664"/>
                </w:tcPr>
                <w:p>
                  <w:r>
                    <w:rPr>
                      <w:sz w:val="18"/>
                    </w:rPr>
                    <w:t>Date pickers desde/hasta con min 26/04/2026 y max hoy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sz w:val="18"/>
                    </w:rPr>
                    <w:t>Por día (máx. 31 puntos)</w:t>
                  </w:r>
                </w:p>
              </w:tc>
              <w:tc>
                <w:tcPr>
                  <w:tcW w:type="dxa" w:w="3240"/>
                </w:tcPr>
                <w:p>
                  <w:r>
                    <w:rPr>
                      <w:sz w:val="18"/>
                    </w:rPr>
                    <w:t>Solo si el periodo espejo anterior completo cabe en el historial; si no, se omite</w:t>
                  </w:r>
                </w:p>
              </w:tc>
            </w:tr>
          </w:tbl>
          <w:p/>
          <w:p/>
          <w:p>
            <w:r>
              <w:rPr>
                <w:b w:val="0"/>
                <w:i w:val="0"/>
                <w:sz w:val="21"/>
              </w:rPr>
              <w:t>Validaciones del personalizado (mensajes inline en rojo dentro del menú, no toasts): “desde” posterior a “hasta” → “Revisa el rango: la fecha inicial debe ser anterior a la final.”; fecha antes del 26/04/2026 → “Solo puedes consultar los últimos 3 meses (desde el 26 abr 2026).” Con error, Aplicar no cierra el menú. Efectos de cambiar el rango (cualquier opción): (1) KPIs, gráfica y panel lateral muestran skeleton ~750 ms y se recargan [API]; (2) la búsqueda de Transacciones se resetea a su estado inicial, porque el rango es un parámetro del query; (3) la etiqueta del control refleja el rango activo (ej. “1 jul – 15 jul”).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ustom-erro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11. Personalizado: error inline por fecha fuera del historial.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dash-skelet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12. Skeleton de carga al cambiar de rango (y al entrar).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dash-7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13. Últimos 7 días: chips verde/rojo vs. periodo previo.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dash-3m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14. Últimos 3 meses: tarjetas sin chip de comparación (regla de historial).</w:t>
            </w:r>
          </w:p>
          <w:p>
            <w:r>
              <w:rPr>
                <w:b/>
                <w:sz w:val="21"/>
              </w:rPr>
              <w:t xml:space="preserve">6. Dashboard (Inicio): </w:t>
            </w:r>
            <w:r>
              <w:rPr>
                <w:b w:val="0"/>
                <w:sz w:val="21"/>
              </w:rPr>
              <w:t>fila de KPIs con una tarjeta por servicio de la cuenta (punto de color de la serie, nombre, monto USD, chip según el numeral 5 y “N transacciones”; servicio no habilitado: $0.00 atenuado con badge “No habilitado”, sin chip ni acciones). Gráfica “Evolución de la recaudación”: una línea de 2 px por servicio; leyenda clicable para ocultar/aislar series (nunca se apaga la última); toggle de unidad “$ Monto / # Transacciones” que re-renderiza ejes y tooltip; subtítulo explícito de unidad y agrupación; eje Y con formato corto ($50 k / 2.5 k); crosshair con tooltip que sigue al cursor con valor por serie y fila de Total (funciona con puntero táctil). Panel lateral: “Puntos con actividad” (X de Y + barra de proporción) y “Transacciones por servicio” (barras horizontales con valor y %, incluyendo el servicio no habilitado en 0, atenuado); la columna estira su altura para cerrar al ras con la gráfica.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chart-conteo-toolti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15. Unidad “# Transacciones” y tooltip con total por hora.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dash-telecom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16. El mismo dashboard reconfigurado para la cuenta colectora (4 servicios).</w:t>
            </w:r>
          </w:p>
          <w:p>
            <w:r>
              <w:rPr>
                <w:b/>
                <w:sz w:val="21"/>
              </w:rPr>
              <w:t xml:space="preserve">7. Transacciones: </w:t>
            </w:r>
            <w:r>
              <w:rPr>
                <w:b w:val="0"/>
                <w:sz w:val="21"/>
              </w:rPr>
              <w:t>el listado NO se consulta automáticamente: el usuario arma los filtros y ejecuta “Buscar” [API], que muestra skeleton ~800 ms en la tabla. Estado inicial: “Consulta tus transacciones — Selecciona los filtros y haz clic en Buscar.” Barra de filtros en orden: Rango de fechas (numeral 5) · Producto · Proveedor · Estado · Tipo de búsqueda · Buscar (primario) · Limpiar. Comportamientos: Producto lista los productos de la cuenta y al cambiarlo resetea el Proveedor; Proveedor es un combobox con buscador interno cuya lista depende del Producto (los inactivos aparecen en gris con badge “Inactivo”; en cuentas de colector este filtro se oculta); Estado: todos/Activo/Pendiente/Reversado; Tipo de búsqueda: todas/Por referencia/Por recibo, y al elegir un tipo aparece el campo con placeholder de ejemplo (“Ej. PX-260725-1017” / “Ej. 4412870”) y foco automático, Enter ejecuta; Limpiar restablece todo al estado inicial.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tx-inicia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17. Estado inicial: no hay tabla hasta ejecutar la búsqueda.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cbx-buscado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18. Combobox de Proveedor con buscador interno e inactivos con badge.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cbx-dependient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19. Dependencia Producto→Proveedor (Corresponsalía muestra solo los suyos).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tipo-referenci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20. Tipo de búsqueda “Por referencia” con su campo y formato de ejemplo.</w:t>
            </w:r>
          </w:p>
          <w:p>
            <w:r>
              <w:rPr>
                <w:b w:val="0"/>
                <w:i w:val="0"/>
                <w:sz w:val="21"/>
              </w:rPr>
              <w:t>Resultados: fila de resumen (Transacciones encontradas y Monto recaudado, consistentes con el dashboard) con el botón Descargar a la derecha; Descargar SOLO existe cuando hay resultados. La tabla usa la estructura del sistema actual: Recibo (con fecha/hora como sublínea), Servicio, Referencia, Estado (chip con tooltip explicativo), Monto, Fecha y Acciones (“Detalle”). Paginación de 9 en 9 con elipsis (‹ 1 2 3 … 7 ›). Descargar → CSV (para Excel): descarga inmediata de los resultados filtrados con columnas Recibo, Servicio, Referencia, Producto, Punto, Monto, Estado, Fecha, Hora, Autorización, y nombre de archivo con el rango; Descargar → Reporte PDF con membrete [API, fase 2]. El botón “Detalle” abre un modal centrado con secciones SERVICIO (Servicio, Producto), TRANSACCIÓN (Referencia, Fecha y hora, Monto, Recibo, Estado, Autorización) y LOCALIZACIÓN (Sucursal, Caja, Usuario); cierra con X, Cerrar, Esc o clic fuera. Cambiar el rango de fechas resetea la búsqueda.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tx-resultado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21. Resultados: resumen, Descargar, tabla y paginación.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descarga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22. Menú Descargar anclado a los resultados.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detalle-tx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23. Modal de detalle de transacción.</w:t>
            </w:r>
          </w:p>
          <w:p>
            <w:r>
              <w:rPr>
                <w:b/>
                <w:sz w:val="21"/>
              </w:rPr>
              <w:t xml:space="preserve">8. Perfil: </w:t>
            </w:r>
            <w:r>
              <w:rPr>
                <w:b w:val="0"/>
                <w:sz w:val="21"/>
              </w:rPr>
              <w:t>accesible desde el menú de cuenta (“Ver perfil”). Tarjeta de la empresa (avatar, nombre, NIT/rol/nº de puntos, dirección y teléfono) y tarjeta “Información del usuario” con campos en cajas con ícono (Nombre completo, Correo, Departamento, Cargo) y “Perfil de acceso” como chip (verde Administrador; ámbar Supervisor/Cobrador; gris Lectura en socio afiliado). Botón “Cambiar contraseña” [API].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51167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perfil-telecom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511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555F73"/>
                <w:sz w:val="17"/>
              </w:rPr>
              <w:t>Figura 24. Perfil en la cuenta colectora con el perfil de acceso activo.</w:t>
            </w:r>
          </w:p>
          <w:p>
            <w:r>
              <w:rPr>
                <w:b/>
                <w:sz w:val="21"/>
              </w:rPr>
              <w:t xml:space="preserve">9. Componentes y estados transversales: </w:t>
            </w:r>
            <w:r>
              <w:rPr>
                <w:b w:val="0"/>
                <w:sz w:val="21"/>
              </w:rPr>
              <w:t>skeletons tipo shimmer para toda carga de backend; toasts de confirmación de 5 s con aria-live; criterio de contenedores: modal centrado para lectura/confirmación corta (detalle de transacción) y drawer lateral para flujos de creación multi-paso (nuevo link); todos los overlays cierran con Esc y clic fuera; foco visible para teclado; breakpoints: ≤1360 px versión compacta, ≤860 px sidebar como drawer con barra superior (hamburguesa + logo), ≤640 px las tablas se transforman en tarjetas con el monto destacado.</w:t>
            </w:r>
          </w:p>
          <w:p/>
        </w:tc>
      </w:tr>
      <w:tr w:rsidR="006C3982" w:rsidRPr="00653E93" w14:paraId="7AACE79E" w14:textId="77777777">
        <w:trPr>
          <w:trHeight w:val="140"/>
        </w:trPr>
        <w:tc>
          <w:tcPr>
            <w:tcW w:w="10605" w:type="dxa"/>
          </w:tcPr>
          <w:p w14:paraId="264D3311" w14:textId="77777777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</w:p>
        </w:tc>
      </w:tr>
      <w:tr w:rsidR="00746D7F" w:rsidRPr="00653E93" w14:paraId="67D7FED0" w14:textId="77777777">
        <w:trPr>
          <w:trHeight w:val="140"/>
        </w:trPr>
        <w:tc>
          <w:tcPr>
            <w:tcW w:w="10605" w:type="dxa"/>
          </w:tcPr>
          <w:p w14:paraId="7D6A0894" w14:textId="77777777" w:rsidR="00746D7F" w:rsidRPr="00653E93" w:rsidRDefault="00746D7F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563E8D6F" w14:textId="77777777" w:rsidR="006C3982" w:rsidRPr="00653E93" w:rsidRDefault="007476F9">
      <w:pPr>
        <w:widowControl w:val="0"/>
        <w:spacing w:after="0"/>
        <w:ind w:left="214" w:hanging="214"/>
        <w:rPr>
          <w:rFonts w:ascii="Aptos" w:hAnsi="Aptos"/>
          <w:sz w:val="20"/>
          <w:szCs w:val="20"/>
        </w:rPr>
      </w:pPr>
      <w:r w:rsidRPr="00653E93">
        <w:rPr>
          <w:rFonts w:ascii="Aptos" w:hAnsi="Aptos"/>
          <w:sz w:val="20"/>
          <w:szCs w:val="20"/>
        </w:rPr>
        <w:t xml:space="preserve">Nota: </w:t>
      </w:r>
    </w:p>
    <w:p w14:paraId="38C4D10A" w14:textId="77777777" w:rsidR="006C3982" w:rsidRPr="00653E93" w:rsidRDefault="007476F9">
      <w:pPr>
        <w:widowControl w:val="0"/>
        <w:spacing w:after="0"/>
        <w:ind w:left="214" w:hanging="214"/>
        <w:rPr>
          <w:rFonts w:ascii="Aptos" w:hAnsi="Aptos"/>
          <w:sz w:val="20"/>
          <w:szCs w:val="20"/>
        </w:rPr>
      </w:pPr>
      <w:r w:rsidRPr="00653E93">
        <w:rPr>
          <w:rFonts w:ascii="Aptos" w:hAnsi="Aptos"/>
          <w:sz w:val="20"/>
          <w:szCs w:val="20"/>
        </w:rPr>
        <w:t>1. List</w:t>
      </w:r>
      <w:r w:rsidR="00D232B0" w:rsidRPr="00653E93">
        <w:rPr>
          <w:rFonts w:ascii="Aptos" w:hAnsi="Aptos"/>
          <w:sz w:val="20"/>
          <w:szCs w:val="20"/>
        </w:rPr>
        <w:t>a</w:t>
      </w:r>
      <w:r w:rsidRPr="00653E93">
        <w:rPr>
          <w:rFonts w:ascii="Aptos" w:hAnsi="Aptos"/>
          <w:sz w:val="20"/>
          <w:szCs w:val="20"/>
        </w:rPr>
        <w:t xml:space="preserve"> las labores manuales que se eliminan con el desarrollo de su solicitud</w:t>
      </w:r>
    </w:p>
    <w:p w14:paraId="71942DD1" w14:textId="77777777" w:rsidR="006C3982" w:rsidRPr="00653E93" w:rsidRDefault="007476F9">
      <w:pPr>
        <w:widowControl w:val="0"/>
        <w:spacing w:after="0"/>
        <w:ind w:left="214" w:hanging="214"/>
        <w:rPr>
          <w:rFonts w:ascii="Aptos" w:hAnsi="Aptos"/>
          <w:sz w:val="20"/>
          <w:szCs w:val="20"/>
        </w:rPr>
      </w:pPr>
      <w:r w:rsidRPr="00653E93">
        <w:rPr>
          <w:rFonts w:ascii="Aptos" w:hAnsi="Aptos"/>
          <w:sz w:val="20"/>
          <w:szCs w:val="20"/>
        </w:rPr>
        <w:t>2. cuantifique, en horas, días, etc. El tiempo que se ahorra con la automatización del problema</w:t>
      </w:r>
    </w:p>
    <w:p w14:paraId="5CAEAC2D" w14:textId="77777777" w:rsidR="006C3982" w:rsidRPr="00653E93" w:rsidRDefault="007476F9">
      <w:pPr>
        <w:spacing w:after="120"/>
        <w:rPr>
          <w:rFonts w:ascii="Aptos" w:hAnsi="Aptos"/>
          <w:color w:val="B3BDCB"/>
          <w:sz w:val="20"/>
          <w:szCs w:val="20"/>
        </w:rPr>
      </w:pPr>
      <w:r w:rsidRPr="00653E93">
        <w:rPr>
          <w:rFonts w:ascii="Aptos" w:hAnsi="Aptos"/>
          <w:color w:val="B3BDCB"/>
          <w:sz w:val="20"/>
          <w:szCs w:val="20"/>
        </w:rPr>
        <w:lastRenderedPageBreak/>
        <w:t>En caso de ser un error, adjunte pantallas, reportes, o cualquier información adicional que ayuden al seguimiento del problema y brinde una breve descripción adicional del impacto que usted visualiza</w:t>
      </w:r>
    </w:p>
    <w:tbl>
      <w:tblPr>
        <w:tblStyle w:val="Style14"/>
        <w:tblW w:w="10618" w:type="dxa"/>
        <w:tblInd w:w="-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37"/>
        <w:gridCol w:w="7381"/>
      </w:tblGrid>
      <w:tr w:rsidR="006C3982" w:rsidRPr="00653E93" w14:paraId="69CBF11F" w14:textId="77777777">
        <w:trPr>
          <w:trHeight w:val="260"/>
        </w:trPr>
        <w:tc>
          <w:tcPr>
            <w:tcW w:w="10618" w:type="dxa"/>
            <w:gridSpan w:val="2"/>
            <w:shd w:val="clear" w:color="auto" w:fill="004080"/>
          </w:tcPr>
          <w:p w14:paraId="341020ED" w14:textId="77777777" w:rsidR="006C3982" w:rsidRPr="00653E93" w:rsidRDefault="007476F9">
            <w:bookmarkStart w:id="104" w:name="idx_pers"/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Personas, países, unidades de negocio / operativas involucradas</w:t>
            </w:r>
            <w:bookmarkEnd w:id="104"/>
          </w:p>
        </w:tc>
      </w:tr>
      <w:tr w:rsidR="006C3982" w:rsidRPr="00653E93" w14:paraId="1E631E9E" w14:textId="77777777">
        <w:trPr>
          <w:trHeight w:val="280"/>
        </w:trPr>
        <w:tc>
          <w:tcPr>
            <w:tcW w:w="3237" w:type="dxa"/>
          </w:tcPr>
          <w:p w14:paraId="4FEE27F9" w14:textId="77777777" w:rsidR="006C3982" w:rsidRPr="00653E93" w:rsidRDefault="007476F9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653E93">
              <w:rPr>
                <w:rFonts w:ascii="Aptos" w:hAnsi="Aptos"/>
                <w:sz w:val="20"/>
                <w:szCs w:val="20"/>
              </w:rPr>
              <w:t>Origen del Requerimiento:</w:t>
            </w:r>
          </w:p>
        </w:tc>
        <w:tc>
          <w:tcPr>
            <w:tcW w:w="7381" w:type="dxa"/>
          </w:tcPr>
          <w:p w14:paraId="7E806301" w14:textId="0C7AD995" w:rsidR="006C3982" w:rsidRPr="00653E93" w:rsidRDefault="002F310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b w:val="0"/>
                <w:sz w:val="21"/>
              </w:rPr>
              <w:t>Mejora de proceso / Producto</w:t>
            </w:r>
          </w:p>
        </w:tc>
      </w:tr>
      <w:tr w:rsidR="006C3982" w:rsidRPr="00653E93" w14:paraId="4A867B10" w14:textId="77777777">
        <w:trPr>
          <w:trHeight w:val="280"/>
        </w:trPr>
        <w:tc>
          <w:tcPr>
            <w:tcW w:w="10618" w:type="dxa"/>
            <w:gridSpan w:val="2"/>
          </w:tcPr>
          <w:p w14:paraId="5B9A539C" w14:textId="77777777" w:rsidR="006C3982" w:rsidRPr="00653E93" w:rsidRDefault="007476F9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b w:val="0"/>
                <w:sz w:val="21"/>
              </w:rPr>
              <w:t>Operaciones Puntoxpress Nicaragua</w:t>
            </w:r>
          </w:p>
        </w:tc>
      </w:tr>
      <w:tr w:rsidR="006C3982" w:rsidRPr="00653E93" w14:paraId="42DCE072" w14:textId="77777777">
        <w:trPr>
          <w:trHeight w:val="260"/>
        </w:trPr>
        <w:tc>
          <w:tcPr>
            <w:tcW w:w="10618" w:type="dxa"/>
            <w:gridSpan w:val="2"/>
          </w:tcPr>
          <w:p w14:paraId="242BE42A" w14:textId="77777777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b w:val="0"/>
                <w:sz w:val="21"/>
              </w:rPr>
              <w:t>Equipos de cobro de los colectores (administradores, supervisores y cobradores)</w:t>
            </w:r>
          </w:p>
        </w:tc>
      </w:tr>
      <w:tr w:rsidR="006C3982" w:rsidRPr="00653E93" w14:paraId="1764807A" w14:textId="77777777">
        <w:trPr>
          <w:trHeight w:val="300"/>
        </w:trPr>
        <w:tc>
          <w:tcPr>
            <w:tcW w:w="10618" w:type="dxa"/>
            <w:gridSpan w:val="2"/>
          </w:tcPr>
          <w:p w14:paraId="2E9B504E" w14:textId="77777777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05A18E62" w14:textId="77777777" w:rsidR="006C3982" w:rsidRPr="00653E93" w:rsidRDefault="007476F9">
      <w:pPr>
        <w:spacing w:after="0" w:line="240" w:lineRule="auto"/>
        <w:rPr>
          <w:rFonts w:ascii="Aptos" w:hAnsi="Aptos"/>
          <w:sz w:val="20"/>
          <w:szCs w:val="20"/>
        </w:rPr>
      </w:pPr>
      <w:r w:rsidRPr="00653E93">
        <w:rPr>
          <w:rFonts w:ascii="Aptos" w:hAnsi="Aptos"/>
          <w:sz w:val="20"/>
          <w:szCs w:val="20"/>
        </w:rPr>
        <w:t>1. Indique las Unidades y países que afecta con esta solución. P.e.: Operaciones, Atención a    Clientes, Cajas, etc.</w:t>
      </w:r>
    </w:p>
    <w:p w14:paraId="21DFF2B6" w14:textId="77777777" w:rsidR="006C3982" w:rsidRPr="00653E93" w:rsidRDefault="007476F9">
      <w:pPr>
        <w:spacing w:after="0" w:line="240" w:lineRule="auto"/>
        <w:rPr>
          <w:rFonts w:ascii="Aptos" w:hAnsi="Aptos"/>
          <w:sz w:val="20"/>
          <w:szCs w:val="20"/>
        </w:rPr>
      </w:pPr>
      <w:r w:rsidRPr="00653E93">
        <w:rPr>
          <w:rFonts w:ascii="Aptos" w:hAnsi="Aptos"/>
          <w:sz w:val="20"/>
          <w:szCs w:val="20"/>
        </w:rPr>
        <w:t xml:space="preserve">2. Indique el personal de otras unidades cuyo trabajo depende o se </w:t>
      </w:r>
      <w:r w:rsidRPr="00653E93">
        <w:rPr>
          <w:rFonts w:ascii="Aptos" w:hAnsi="Aptos"/>
          <w:i/>
          <w:sz w:val="20"/>
          <w:szCs w:val="20"/>
        </w:rPr>
        <w:t>verá</w:t>
      </w:r>
      <w:r w:rsidRPr="00653E93">
        <w:rPr>
          <w:rFonts w:ascii="Aptos" w:hAnsi="Aptos"/>
          <w:sz w:val="20"/>
          <w:szCs w:val="20"/>
        </w:rPr>
        <w:t xml:space="preserve"> afectado por este requerimiento.</w:t>
      </w:r>
    </w:p>
    <w:p w14:paraId="62E93815" w14:textId="11B2A5F5" w:rsidR="0099023A" w:rsidRPr="00653E93" w:rsidRDefault="007476F9" w:rsidP="00125A9B">
      <w:pPr>
        <w:spacing w:after="0" w:line="240" w:lineRule="auto"/>
        <w:rPr>
          <w:rFonts w:ascii="Aptos" w:hAnsi="Aptos"/>
          <w:sz w:val="20"/>
          <w:szCs w:val="20"/>
        </w:rPr>
      </w:pPr>
      <w:r w:rsidRPr="00653E93">
        <w:rPr>
          <w:rFonts w:ascii="Aptos" w:hAnsi="Aptos"/>
          <w:sz w:val="20"/>
          <w:szCs w:val="20"/>
        </w:rPr>
        <w:t xml:space="preserve">3. Origen del Requerimiento puede ser, Auditoria Interna, </w:t>
      </w:r>
      <w:r w:rsidR="00D4119F" w:rsidRPr="00653E93">
        <w:rPr>
          <w:rFonts w:ascii="Aptos" w:hAnsi="Aptos"/>
          <w:sz w:val="20"/>
          <w:szCs w:val="20"/>
        </w:rPr>
        <w:t>Auditoría</w:t>
      </w:r>
      <w:r w:rsidRPr="00653E93">
        <w:rPr>
          <w:rFonts w:ascii="Aptos" w:hAnsi="Aptos"/>
          <w:sz w:val="20"/>
          <w:szCs w:val="20"/>
        </w:rPr>
        <w:t xml:space="preserve"> Externa, Cumplimiento </w:t>
      </w:r>
      <w:r w:rsidR="00D4119F" w:rsidRPr="00653E93">
        <w:rPr>
          <w:rFonts w:ascii="Aptos" w:hAnsi="Aptos"/>
          <w:sz w:val="20"/>
          <w:szCs w:val="20"/>
        </w:rPr>
        <w:t>Legal, mejora</w:t>
      </w:r>
      <w:r w:rsidRPr="00653E93">
        <w:rPr>
          <w:rFonts w:ascii="Aptos" w:hAnsi="Aptos"/>
          <w:sz w:val="20"/>
          <w:szCs w:val="20"/>
        </w:rPr>
        <w:t xml:space="preserve"> de proceso, Mejoras a Funcionalidad, Nuevo Proceso</w:t>
      </w:r>
    </w:p>
    <w:tbl>
      <w:tblPr>
        <w:tblStyle w:val="Style15"/>
        <w:tblW w:w="10675" w:type="dxa"/>
        <w:tblInd w:w="-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75"/>
      </w:tblGrid>
      <w:tr w:rsidR="006C3982" w:rsidRPr="00653E93" w14:paraId="3E7E31A9" w14:textId="77777777">
        <w:tc>
          <w:tcPr>
            <w:tcW w:w="10675" w:type="dxa"/>
            <w:shd w:val="clear" w:color="auto" w:fill="004080"/>
          </w:tcPr>
          <w:p w14:paraId="1D4A17C2" w14:textId="77777777" w:rsidR="006C3982" w:rsidRPr="00653E93" w:rsidRDefault="007476F9">
            <w:bookmarkStart w:id="105" w:name="idx_imp"/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Impacto en la operación</w:t>
            </w:r>
            <w:bookmarkEnd w:id="105"/>
          </w:p>
        </w:tc>
      </w:tr>
      <w:tr w:rsidR="006C3982" w:rsidRPr="00653E93" w14:paraId="6E92CE11" w14:textId="77777777">
        <w:tc>
          <w:tcPr>
            <w:tcW w:w="10675" w:type="dxa"/>
          </w:tcPr>
          <w:p w14:paraId="0A44057A" w14:textId="6E6374CB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b w:val="0"/>
                <w:sz w:val="21"/>
              </w:rPr>
              <w:t>Los socios y colectores consultan su operación con una herramienta clara y consistente, reduciendo consultas a soporte por interpretación de cifras (unidades explícitas, comparativas honestas).</w:t>
            </w:r>
          </w:p>
        </w:tc>
      </w:tr>
      <w:tr w:rsidR="006C3982" w:rsidRPr="00653E93" w14:paraId="232AFD44" w14:textId="77777777">
        <w:tc>
          <w:tcPr>
            <w:tcW w:w="10675" w:type="dxa"/>
          </w:tcPr>
          <w:p w14:paraId="10F85D96" w14:textId="77777777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b w:val="0"/>
                <w:sz w:val="21"/>
              </w:rPr>
              <w:t>El módulo de Links de pago habilita un canal nuevo de cobro a distancia para colectores, sin desarrollar canal de envío (el usuario comparte el link/QR por sus propios medios).</w:t>
            </w:r>
          </w:p>
        </w:tc>
      </w:tr>
      <w:tr w:rsidR="006C3982" w:rsidRPr="00653E93" w14:paraId="75084C68" w14:textId="77777777">
        <w:tc>
          <w:tcPr>
            <w:tcW w:w="10675" w:type="dxa"/>
          </w:tcPr>
          <w:p w14:paraId="4342CEE7" w14:textId="77777777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b w:val="0"/>
                <w:sz w:val="21"/>
              </w:rPr>
              <w:t>El modelo de cuentas y perfiles permite escalar el mismo portal a nuevos colectores y servicios por configuración, sin desarrollos por cliente.</w:t>
            </w:r>
          </w:p>
        </w:tc>
      </w:tr>
    </w:tbl>
    <w:p w14:paraId="5A681F7A" w14:textId="77777777" w:rsidR="006C3982" w:rsidRPr="00653E93" w:rsidRDefault="006C3982">
      <w:pPr>
        <w:tabs>
          <w:tab w:val="left" w:pos="2475"/>
        </w:tabs>
        <w:rPr>
          <w:rFonts w:ascii="Aptos" w:hAnsi="Aptos"/>
          <w:sz w:val="20"/>
          <w:szCs w:val="20"/>
        </w:rPr>
      </w:pPr>
    </w:p>
    <w:p w14:paraId="678C6229" w14:textId="77777777" w:rsidR="006C3982" w:rsidRPr="00653E93" w:rsidRDefault="006C3982">
      <w:pPr>
        <w:tabs>
          <w:tab w:val="left" w:pos="2475"/>
        </w:tabs>
        <w:rPr>
          <w:rFonts w:ascii="Aptos" w:hAnsi="Aptos"/>
          <w:sz w:val="20"/>
          <w:szCs w:val="20"/>
        </w:rPr>
      </w:pPr>
    </w:p>
    <w:tbl>
      <w:tblPr>
        <w:tblStyle w:val="Style16"/>
        <w:tblW w:w="10675" w:type="dxa"/>
        <w:tblInd w:w="-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75"/>
      </w:tblGrid>
      <w:tr w:rsidR="006C3982" w:rsidRPr="00653E93" w14:paraId="5555B370" w14:textId="77777777">
        <w:trPr>
          <w:trHeight w:val="240"/>
        </w:trPr>
        <w:tc>
          <w:tcPr>
            <w:tcW w:w="10675" w:type="dxa"/>
            <w:shd w:val="clear" w:color="auto" w:fill="004080"/>
          </w:tcPr>
          <w:p w14:paraId="0F9EACBE" w14:textId="77777777" w:rsidR="006C3982" w:rsidRPr="00653E93" w:rsidRDefault="007476F9">
            <w:bookmarkStart w:id="106" w:name="idx_obs"/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Observaciones:</w:t>
            </w:r>
            <w:bookmarkEnd w:id="106"/>
          </w:p>
        </w:tc>
      </w:tr>
      <w:tr w:rsidR="006C3982" w:rsidRPr="00653E93" w14:paraId="2F24BD69" w14:textId="77777777">
        <w:trPr>
          <w:trHeight w:val="240"/>
        </w:trPr>
        <w:tc>
          <w:tcPr>
            <w:tcW w:w="10675" w:type="dxa"/>
          </w:tcPr>
          <w:p w14:paraId="53D1B54A" w14:textId="77777777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b w:val="0"/>
                <w:sz w:val="21"/>
              </w:rPr>
              <w:t>Historial y comparativas: el prototipo asume que solo existen 3 meses de datos consultables; por eso “Últimos 3 meses” no muestra comparativa. Si el backend retiene agregados históricos (totales por servicio/periodo), la comparativa podría calcularse server-side; decidir con el equipo de datos.</w:t>
            </w:r>
          </w:p>
        </w:tc>
      </w:tr>
      <w:tr w:rsidR="006C3982" w:rsidRPr="00653E93" w14:paraId="59C93312" w14:textId="77777777">
        <w:trPr>
          <w:trHeight w:val="240"/>
        </w:trPr>
        <w:tc>
          <w:tcPr>
            <w:tcW w:w="10675" w:type="dxa"/>
          </w:tcPr>
          <w:p w14:paraId="2F8343B5" w14:textId="77777777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b w:val="0"/>
                <w:sz w:val="21"/>
              </w:rPr>
              <w:t>La generación del código del link (pex.sv/p/XXXX) y del QR debe hacerse server-side; en el prototipo se genera client-side solo para demostración. El listado del prototipo es una muestra: en producción tabla y resumen vienen del backend paginado.</w:t>
            </w:r>
          </w:p>
        </w:tc>
      </w:tr>
      <w:tr w:rsidR="006C3982" w:rsidRPr="00653E93" w14:paraId="566E134C" w14:textId="77777777">
        <w:trPr>
          <w:trHeight w:val="260"/>
        </w:trPr>
        <w:tc>
          <w:tcPr>
            <w:tcW w:w="10675" w:type="dxa"/>
          </w:tcPr>
          <w:p w14:paraId="16B91BD9" w14:textId="77777777" w:rsidR="006C3982" w:rsidRPr="00653E93" w:rsidRDefault="006C398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b w:val="0"/>
                <w:sz w:val="21"/>
              </w:rPr>
              <w:t>Fuente de verdad visual y de comportamiento: prototipo-portal-socios.html (se abre en cualquier navegador; credenciales y código OTP de demo: cualquiera).</w:t>
            </w:r>
          </w:p>
        </w:tc>
      </w:tr>
    </w:tbl>
    <w:p w14:paraId="57E71EAE" w14:textId="77777777" w:rsidR="006C3982" w:rsidRPr="00653E93" w:rsidRDefault="006C3982">
      <w:pPr>
        <w:tabs>
          <w:tab w:val="left" w:pos="2475"/>
        </w:tabs>
        <w:rPr>
          <w:rFonts w:ascii="Aptos" w:hAnsi="Aptos"/>
          <w:sz w:val="20"/>
          <w:szCs w:val="20"/>
        </w:rPr>
      </w:pPr>
    </w:p>
    <w:tbl>
      <w:tblPr>
        <w:tblStyle w:val="Style17"/>
        <w:tblW w:w="9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085"/>
        <w:gridCol w:w="2055"/>
        <w:gridCol w:w="3645"/>
      </w:tblGrid>
      <w:tr w:rsidR="006C3982" w:rsidRPr="00653E93" w14:paraId="2F8507AD" w14:textId="77777777">
        <w:tc>
          <w:tcPr>
            <w:tcW w:w="2130" w:type="dxa"/>
            <w:shd w:val="clear" w:color="auto" w:fill="004080"/>
          </w:tcPr>
          <w:p w14:paraId="5890CB68" w14:textId="77777777" w:rsidR="006C3982" w:rsidRPr="00653E93" w:rsidRDefault="007476F9">
            <w:bookmarkStart w:id="107" w:name="idx_fir"/>
            <w:pPr>
              <w:spacing w:after="0" w:line="240" w:lineRule="auto"/>
              <w:jc w:val="both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ROL</w:t>
            </w:r>
            <w:bookmarkEnd w:id="107"/>
          </w:p>
        </w:tc>
        <w:tc>
          <w:tcPr>
            <w:tcW w:w="2085" w:type="dxa"/>
            <w:shd w:val="clear" w:color="auto" w:fill="004080"/>
          </w:tcPr>
          <w:p w14:paraId="45D83896" w14:textId="77777777" w:rsidR="006C3982" w:rsidRPr="00653E93" w:rsidRDefault="007476F9">
            <w:pPr>
              <w:spacing w:after="0" w:line="240" w:lineRule="auto"/>
              <w:jc w:val="both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055" w:type="dxa"/>
            <w:shd w:val="clear" w:color="auto" w:fill="004080"/>
          </w:tcPr>
          <w:p w14:paraId="12FFAA3C" w14:textId="77777777" w:rsidR="006C3982" w:rsidRPr="00653E93" w:rsidRDefault="007476F9">
            <w:pPr>
              <w:spacing w:after="0" w:line="240" w:lineRule="auto"/>
              <w:jc w:val="both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3645" w:type="dxa"/>
            <w:shd w:val="clear" w:color="auto" w:fill="004080"/>
          </w:tcPr>
          <w:p w14:paraId="75328E2B" w14:textId="77777777" w:rsidR="006C3982" w:rsidRPr="00653E93" w:rsidRDefault="007476F9">
            <w:pPr>
              <w:spacing w:after="0" w:line="240" w:lineRule="auto"/>
              <w:jc w:val="both"/>
              <w:rPr>
                <w:rFonts w:ascii="Aptos" w:hAnsi="Aptos"/>
                <w:b/>
                <w:color w:val="FFFFFF"/>
                <w:sz w:val="20"/>
                <w:szCs w:val="20"/>
              </w:rPr>
            </w:pPr>
            <w:r w:rsidRPr="00653E93">
              <w:rPr>
                <w:rFonts w:ascii="Aptos" w:hAnsi="Aptos"/>
                <w:b/>
                <w:color w:val="FFFFFF"/>
                <w:sz w:val="20"/>
                <w:szCs w:val="20"/>
              </w:rPr>
              <w:t>FECHA</w:t>
            </w:r>
          </w:p>
        </w:tc>
      </w:tr>
      <w:tr w:rsidR="006C3982" w:rsidRPr="00653E93" w14:paraId="678458D8" w14:textId="77777777">
        <w:tc>
          <w:tcPr>
            <w:tcW w:w="2130" w:type="dxa"/>
          </w:tcPr>
          <w:p w14:paraId="1D843BA9" w14:textId="77777777" w:rsidR="006C3982" w:rsidRPr="00653E93" w:rsidRDefault="007476F9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  <w:r w:rsidRPr="00653E93">
              <w:rPr>
                <w:rFonts w:ascii="Aptos" w:hAnsi="Aptos"/>
                <w:sz w:val="20"/>
                <w:szCs w:val="20"/>
              </w:rPr>
              <w:t>Desarrollador</w:t>
            </w:r>
          </w:p>
        </w:tc>
        <w:tc>
          <w:tcPr>
            <w:tcW w:w="2085" w:type="dxa"/>
          </w:tcPr>
          <w:p w14:paraId="74F184A1" w14:textId="77777777" w:rsidR="006C3982" w:rsidRPr="00653E93" w:rsidRDefault="006C3982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055" w:type="dxa"/>
          </w:tcPr>
          <w:p w14:paraId="707A0434" w14:textId="77777777" w:rsidR="006C3982" w:rsidRPr="00653E93" w:rsidRDefault="006C3982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645" w:type="dxa"/>
          </w:tcPr>
          <w:p w14:paraId="14003881" w14:textId="77777777" w:rsidR="006C3982" w:rsidRPr="00653E93" w:rsidRDefault="006C3982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6C3982" w:rsidRPr="00653E93" w14:paraId="33D8E6FB" w14:textId="77777777">
        <w:tc>
          <w:tcPr>
            <w:tcW w:w="2130" w:type="dxa"/>
          </w:tcPr>
          <w:p w14:paraId="5B514835" w14:textId="77777777" w:rsidR="006C3982" w:rsidRPr="00653E93" w:rsidRDefault="007476F9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  <w:r w:rsidRPr="00653E93">
              <w:rPr>
                <w:rFonts w:ascii="Aptos" w:hAnsi="Aptos"/>
                <w:sz w:val="20"/>
                <w:szCs w:val="20"/>
              </w:rPr>
              <w:t>Líder de Desarrollo</w:t>
            </w:r>
          </w:p>
        </w:tc>
        <w:tc>
          <w:tcPr>
            <w:tcW w:w="2085" w:type="dxa"/>
          </w:tcPr>
          <w:p w14:paraId="584C0F1D" w14:textId="77777777" w:rsidR="006C3982" w:rsidRPr="00653E93" w:rsidRDefault="006C3982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055" w:type="dxa"/>
          </w:tcPr>
          <w:p w14:paraId="78ECC105" w14:textId="77777777" w:rsidR="006C3982" w:rsidRPr="00653E93" w:rsidRDefault="006C3982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645" w:type="dxa"/>
          </w:tcPr>
          <w:p w14:paraId="2DB5D5D4" w14:textId="77777777" w:rsidR="006C3982" w:rsidRPr="00653E93" w:rsidRDefault="006C3982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6C3982" w:rsidRPr="00653E93" w14:paraId="5660E1D0" w14:textId="77777777">
        <w:tc>
          <w:tcPr>
            <w:tcW w:w="2130" w:type="dxa"/>
          </w:tcPr>
          <w:p w14:paraId="2321F12B" w14:textId="77777777" w:rsidR="006C3982" w:rsidRPr="00653E93" w:rsidRDefault="007476F9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  <w:r w:rsidRPr="00653E93">
              <w:rPr>
                <w:rFonts w:ascii="Aptos" w:hAnsi="Aptos"/>
                <w:sz w:val="20"/>
                <w:szCs w:val="20"/>
              </w:rPr>
              <w:t>Gerente de Proyecto</w:t>
            </w:r>
          </w:p>
        </w:tc>
        <w:tc>
          <w:tcPr>
            <w:tcW w:w="2085" w:type="dxa"/>
          </w:tcPr>
          <w:p w14:paraId="682DCB1F" w14:textId="77777777" w:rsidR="006C3982" w:rsidRPr="00653E93" w:rsidRDefault="007476F9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  <w:r w:rsidRPr="00653E93">
              <w:rPr>
                <w:rFonts w:ascii="Aptos" w:hAnsi="Aptos"/>
                <w:sz w:val="20"/>
                <w:szCs w:val="20"/>
              </w:rPr>
              <w:t>Franklin Morales</w:t>
            </w:r>
          </w:p>
        </w:tc>
        <w:tc>
          <w:tcPr>
            <w:tcW w:w="2055" w:type="dxa"/>
          </w:tcPr>
          <w:p w14:paraId="3FD64F8F" w14:textId="77777777" w:rsidR="006C3982" w:rsidRPr="00653E93" w:rsidRDefault="006C3982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645" w:type="dxa"/>
          </w:tcPr>
          <w:p w14:paraId="1BB6FEFD" w14:textId="77777777" w:rsidR="006C3982" w:rsidRPr="00653E93" w:rsidRDefault="006C3982">
            <w:pPr>
              <w:spacing w:after="0" w:line="240" w:lineRule="auto"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5DC3C15A" w14:textId="77777777" w:rsidR="006C3982" w:rsidRPr="00653E93" w:rsidRDefault="006C3982">
      <w:pPr>
        <w:tabs>
          <w:tab w:val="left" w:pos="2475"/>
        </w:tabs>
        <w:rPr>
          <w:rFonts w:ascii="Aptos" w:hAnsi="Aptos"/>
          <w:sz w:val="20"/>
          <w:szCs w:val="20"/>
        </w:rPr>
      </w:pPr>
    </w:p>
    <w:p w14:paraId="39DD7CE7" w14:textId="77777777" w:rsidR="006C3982" w:rsidRPr="00653E93" w:rsidRDefault="006C3982">
      <w:pPr>
        <w:tabs>
          <w:tab w:val="left" w:pos="2475"/>
        </w:tabs>
        <w:rPr>
          <w:rFonts w:ascii="Aptos" w:hAnsi="Aptos"/>
          <w:sz w:val="20"/>
          <w:szCs w:val="20"/>
        </w:rPr>
      </w:pPr>
      <w:bookmarkStart w:id="0" w:name="_gjdgxs" w:colFirst="0" w:colLast="0"/>
      <w:bookmarkEnd w:id="0"/>
    </w:p>
    <w:sectPr w:rsidR="006C3982" w:rsidRPr="00653E93">
      <w:headerReference w:type="first" r:id="rId10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9D3DC" w14:textId="77777777" w:rsidR="000141BF" w:rsidRDefault="000141BF">
      <w:pPr>
        <w:spacing w:after="0" w:line="240" w:lineRule="auto"/>
      </w:pPr>
      <w:r>
        <w:separator/>
      </w:r>
    </w:p>
  </w:endnote>
  <w:endnote w:type="continuationSeparator" w:id="0">
    <w:p w14:paraId="3F3FBE64" w14:textId="77777777" w:rsidR="000141BF" w:rsidRDefault="00014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East Syriac Adiabene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087E2" w14:textId="77777777" w:rsidR="000141BF" w:rsidRDefault="000141BF">
      <w:pPr>
        <w:spacing w:after="0" w:line="240" w:lineRule="auto"/>
      </w:pPr>
      <w:r>
        <w:separator/>
      </w:r>
    </w:p>
  </w:footnote>
  <w:footnote w:type="continuationSeparator" w:id="0">
    <w:p w14:paraId="6C66B9EB" w14:textId="77777777" w:rsidR="000141BF" w:rsidRDefault="00014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707E" w14:textId="77777777" w:rsidR="006C3982" w:rsidRDefault="006C3982">
    <w:pPr>
      <w:widowControl w:val="0"/>
      <w:spacing w:after="0"/>
    </w:pPr>
  </w:p>
  <w:tbl>
    <w:tblPr>
      <w:tblStyle w:val="Style18"/>
      <w:tblW w:w="10843" w:type="dxa"/>
      <w:tblInd w:w="-100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764"/>
      <w:gridCol w:w="4781"/>
      <w:gridCol w:w="3298"/>
    </w:tblGrid>
    <w:tr w:rsidR="006C3982" w14:paraId="7BB13152" w14:textId="77777777">
      <w:trPr>
        <w:trHeight w:val="2100"/>
      </w:trPr>
      <w:tc>
        <w:tcPr>
          <w:tcW w:w="2764" w:type="dxa"/>
          <w:tcBorders>
            <w:top w:val="single" w:sz="4" w:space="0" w:color="000000"/>
            <w:bottom w:val="single" w:sz="4" w:space="0" w:color="000000"/>
          </w:tcBorders>
        </w:tcPr>
        <w:p w14:paraId="7F1D86BC" w14:textId="77777777" w:rsidR="006C3982" w:rsidRDefault="007476F9">
          <w:pPr>
            <w:tabs>
              <w:tab w:val="center" w:pos="4419"/>
              <w:tab w:val="right" w:pos="8838"/>
            </w:tabs>
            <w:spacing w:after="0" w:line="240" w:lineRule="auto"/>
            <w:ind w:right="-1346"/>
            <w:rPr>
              <w:b/>
              <w:i/>
              <w:smallCaps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F7B1D8A" wp14:editId="212914B8">
                <wp:simplePos x="0" y="0"/>
                <wp:positionH relativeFrom="margin">
                  <wp:posOffset>-43815</wp:posOffset>
                </wp:positionH>
                <wp:positionV relativeFrom="paragraph">
                  <wp:posOffset>215265</wp:posOffset>
                </wp:positionV>
                <wp:extent cx="1710690" cy="913765"/>
                <wp:effectExtent l="0" t="0" r="0" b="0"/>
                <wp:wrapSquare wrapText="bothSides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690" cy="913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81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2AC6C8E5" w14:textId="77777777" w:rsidR="006C3982" w:rsidRDefault="006C3982">
          <w:pPr>
            <w:spacing w:after="0" w:line="240" w:lineRule="auto"/>
            <w:jc w:val="center"/>
            <w:rPr>
              <w:b/>
              <w:i/>
              <w:smallCaps/>
              <w:sz w:val="28"/>
              <w:szCs w:val="28"/>
            </w:rPr>
          </w:pPr>
        </w:p>
        <w:p w14:paraId="2715B091" w14:textId="77777777" w:rsidR="006C3982" w:rsidRDefault="007476F9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Arial" w:hAnsi="Arial" w:cs="Arial"/>
              <w:sz w:val="36"/>
              <w:szCs w:val="36"/>
            </w:rPr>
          </w:pPr>
          <w:r>
            <w:rPr>
              <w:rFonts w:ascii="Arial" w:eastAsia="Arial" w:hAnsi="Arial" w:cs="Arial"/>
              <w:sz w:val="36"/>
              <w:szCs w:val="36"/>
            </w:rPr>
            <w:t>Requerimiento</w:t>
          </w:r>
        </w:p>
        <w:p w14:paraId="06236712" w14:textId="77777777" w:rsidR="006C3982" w:rsidRDefault="006C3982">
          <w:pPr>
            <w:spacing w:after="0" w:line="240" w:lineRule="auto"/>
            <w:jc w:val="center"/>
            <w:rPr>
              <w:smallCaps/>
              <w:sz w:val="16"/>
              <w:szCs w:val="16"/>
            </w:rPr>
          </w:pPr>
        </w:p>
        <w:p w14:paraId="1735E074" w14:textId="77777777" w:rsidR="006C3982" w:rsidRDefault="006C3982">
          <w:pPr>
            <w:tabs>
              <w:tab w:val="center" w:pos="4419"/>
              <w:tab w:val="right" w:pos="8838"/>
            </w:tabs>
            <w:spacing w:after="0" w:line="240" w:lineRule="auto"/>
            <w:rPr>
              <w:sz w:val="16"/>
              <w:szCs w:val="16"/>
            </w:rPr>
          </w:pPr>
        </w:p>
      </w:tc>
      <w:tc>
        <w:tcPr>
          <w:tcW w:w="3298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08F07D7D" w14:textId="77777777" w:rsidR="006C3982" w:rsidRDefault="007476F9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                                               Versión: 1.0</w:t>
          </w:r>
        </w:p>
        <w:p w14:paraId="0D0AD27F" w14:textId="77777777" w:rsidR="006C3982" w:rsidRDefault="007476F9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            Revisado por: Franklin Morales</w:t>
          </w:r>
        </w:p>
        <w:p w14:paraId="7339FA72" w14:textId="77777777" w:rsidR="006C3982" w:rsidRDefault="006C3982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Arial" w:eastAsia="Arial" w:hAnsi="Arial" w:cs="Arial"/>
              <w:sz w:val="16"/>
              <w:szCs w:val="16"/>
            </w:rPr>
          </w:pPr>
        </w:p>
        <w:p w14:paraId="1249DCFB" w14:textId="77777777" w:rsidR="006C3982" w:rsidRDefault="007476F9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Aprobado por: Franklin Morales</w:t>
          </w:r>
        </w:p>
        <w:p w14:paraId="36AF3C83" w14:textId="77777777" w:rsidR="006C3982" w:rsidRDefault="007476F9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          Fecha de Aprobación: 02/01/2016  </w:t>
          </w:r>
        </w:p>
      </w:tc>
    </w:tr>
  </w:tbl>
  <w:p w14:paraId="57BE1EC8" w14:textId="77777777" w:rsidR="006C3982" w:rsidRDefault="006C3982">
    <w:pP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41B"/>
    <w:multiLevelType w:val="hybridMultilevel"/>
    <w:tmpl w:val="629EA252"/>
    <w:lvl w:ilvl="0" w:tplc="94248C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CD8ABEA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7495"/>
    <w:multiLevelType w:val="hybridMultilevel"/>
    <w:tmpl w:val="9AAC52EC"/>
    <w:lvl w:ilvl="0" w:tplc="992CAB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B047B"/>
    <w:multiLevelType w:val="hybridMultilevel"/>
    <w:tmpl w:val="0D04ADC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C2ABC"/>
    <w:multiLevelType w:val="hybridMultilevel"/>
    <w:tmpl w:val="DD967D8E"/>
    <w:lvl w:ilvl="0" w:tplc="F9829E5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A6789"/>
    <w:multiLevelType w:val="hybridMultilevel"/>
    <w:tmpl w:val="494678A4"/>
    <w:lvl w:ilvl="0" w:tplc="94248C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DB210C"/>
    <w:multiLevelType w:val="hybridMultilevel"/>
    <w:tmpl w:val="9786846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7B4D4"/>
    <w:multiLevelType w:val="multilevel"/>
    <w:tmpl w:val="5A57B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1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1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1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1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57B4DF"/>
    <w:multiLevelType w:val="multilevel"/>
    <w:tmpl w:val="5A57B4D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1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1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1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1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57B4EA"/>
    <w:multiLevelType w:val="multilevel"/>
    <w:tmpl w:val="5A57B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1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1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1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1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57B4F5"/>
    <w:multiLevelType w:val="multilevel"/>
    <w:tmpl w:val="5A57B4F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1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1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1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1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57B500"/>
    <w:multiLevelType w:val="multilevel"/>
    <w:tmpl w:val="5A57B5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1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1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1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96133A"/>
    <w:multiLevelType w:val="hybridMultilevel"/>
    <w:tmpl w:val="8FD0C4FE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03467B"/>
    <w:multiLevelType w:val="hybridMultilevel"/>
    <w:tmpl w:val="45006580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2A0380"/>
    <w:multiLevelType w:val="hybridMultilevel"/>
    <w:tmpl w:val="E7DECD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738623">
    <w:abstractNumId w:val="6"/>
  </w:num>
  <w:num w:numId="2" w16cid:durableId="892010521">
    <w:abstractNumId w:val="7"/>
  </w:num>
  <w:num w:numId="3" w16cid:durableId="1507474586">
    <w:abstractNumId w:val="8"/>
  </w:num>
  <w:num w:numId="4" w16cid:durableId="102851116">
    <w:abstractNumId w:val="9"/>
  </w:num>
  <w:num w:numId="5" w16cid:durableId="1072193281">
    <w:abstractNumId w:val="10"/>
  </w:num>
  <w:num w:numId="6" w16cid:durableId="1388070907">
    <w:abstractNumId w:val="13"/>
  </w:num>
  <w:num w:numId="7" w16cid:durableId="941378633">
    <w:abstractNumId w:val="12"/>
  </w:num>
  <w:num w:numId="8" w16cid:durableId="488254932">
    <w:abstractNumId w:val="1"/>
  </w:num>
  <w:num w:numId="9" w16cid:durableId="1288194381">
    <w:abstractNumId w:val="5"/>
  </w:num>
  <w:num w:numId="10" w16cid:durableId="1765028566">
    <w:abstractNumId w:val="3"/>
  </w:num>
  <w:num w:numId="11" w16cid:durableId="1418596663">
    <w:abstractNumId w:val="2"/>
  </w:num>
  <w:num w:numId="12" w16cid:durableId="1554345532">
    <w:abstractNumId w:val="4"/>
  </w:num>
  <w:num w:numId="13" w16cid:durableId="1634870316">
    <w:abstractNumId w:val="11"/>
  </w:num>
  <w:num w:numId="14" w16cid:durableId="172113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82"/>
    <w:rsid w:val="000139DA"/>
    <w:rsid w:val="000141BF"/>
    <w:rsid w:val="00030928"/>
    <w:rsid w:val="0006290F"/>
    <w:rsid w:val="000B28E2"/>
    <w:rsid w:val="000E0E0A"/>
    <w:rsid w:val="000F0F42"/>
    <w:rsid w:val="000F252E"/>
    <w:rsid w:val="000F3D08"/>
    <w:rsid w:val="001157EA"/>
    <w:rsid w:val="001163A0"/>
    <w:rsid w:val="00125A9B"/>
    <w:rsid w:val="00141DFE"/>
    <w:rsid w:val="001978AE"/>
    <w:rsid w:val="001A3EE5"/>
    <w:rsid w:val="001F46E7"/>
    <w:rsid w:val="0021607C"/>
    <w:rsid w:val="00240F89"/>
    <w:rsid w:val="00243BBD"/>
    <w:rsid w:val="00247382"/>
    <w:rsid w:val="00291ADF"/>
    <w:rsid w:val="002C421E"/>
    <w:rsid w:val="002E5339"/>
    <w:rsid w:val="002E7E01"/>
    <w:rsid w:val="002F3102"/>
    <w:rsid w:val="00320A3F"/>
    <w:rsid w:val="0034578D"/>
    <w:rsid w:val="003628A1"/>
    <w:rsid w:val="003629C5"/>
    <w:rsid w:val="00370358"/>
    <w:rsid w:val="003B4D7B"/>
    <w:rsid w:val="003B50A0"/>
    <w:rsid w:val="003D0A37"/>
    <w:rsid w:val="003D4B37"/>
    <w:rsid w:val="003D73C4"/>
    <w:rsid w:val="00437B86"/>
    <w:rsid w:val="00450A12"/>
    <w:rsid w:val="00460DC7"/>
    <w:rsid w:val="00485550"/>
    <w:rsid w:val="004A0C51"/>
    <w:rsid w:val="004A33B5"/>
    <w:rsid w:val="00511A13"/>
    <w:rsid w:val="005127BE"/>
    <w:rsid w:val="00515308"/>
    <w:rsid w:val="00537556"/>
    <w:rsid w:val="005423BB"/>
    <w:rsid w:val="0054772B"/>
    <w:rsid w:val="005628E1"/>
    <w:rsid w:val="005722BD"/>
    <w:rsid w:val="00583CD7"/>
    <w:rsid w:val="00593F9E"/>
    <w:rsid w:val="005B0EE0"/>
    <w:rsid w:val="00653E93"/>
    <w:rsid w:val="00655B93"/>
    <w:rsid w:val="00667B01"/>
    <w:rsid w:val="006816CF"/>
    <w:rsid w:val="006851D0"/>
    <w:rsid w:val="00695915"/>
    <w:rsid w:val="006A467A"/>
    <w:rsid w:val="006C3982"/>
    <w:rsid w:val="006E5F8A"/>
    <w:rsid w:val="00712F18"/>
    <w:rsid w:val="0072095A"/>
    <w:rsid w:val="007231EB"/>
    <w:rsid w:val="00746D7F"/>
    <w:rsid w:val="007476F9"/>
    <w:rsid w:val="00791FB8"/>
    <w:rsid w:val="00830A2D"/>
    <w:rsid w:val="00831A5F"/>
    <w:rsid w:val="00833283"/>
    <w:rsid w:val="00840BC7"/>
    <w:rsid w:val="0085293C"/>
    <w:rsid w:val="00862436"/>
    <w:rsid w:val="00867484"/>
    <w:rsid w:val="00897161"/>
    <w:rsid w:val="008F73C8"/>
    <w:rsid w:val="00913ED9"/>
    <w:rsid w:val="0098779E"/>
    <w:rsid w:val="0099023A"/>
    <w:rsid w:val="009D0B3B"/>
    <w:rsid w:val="009F4B88"/>
    <w:rsid w:val="00A14A6F"/>
    <w:rsid w:val="00A24320"/>
    <w:rsid w:val="00A24E08"/>
    <w:rsid w:val="00A476E6"/>
    <w:rsid w:val="00A67043"/>
    <w:rsid w:val="00AA37D0"/>
    <w:rsid w:val="00AD2172"/>
    <w:rsid w:val="00B3012D"/>
    <w:rsid w:val="00B352C6"/>
    <w:rsid w:val="00B74E26"/>
    <w:rsid w:val="00B87083"/>
    <w:rsid w:val="00B9528F"/>
    <w:rsid w:val="00B95AE0"/>
    <w:rsid w:val="00BF11CB"/>
    <w:rsid w:val="00BF5952"/>
    <w:rsid w:val="00C03B58"/>
    <w:rsid w:val="00C25BBF"/>
    <w:rsid w:val="00C44525"/>
    <w:rsid w:val="00C473AD"/>
    <w:rsid w:val="00C54538"/>
    <w:rsid w:val="00C76ABE"/>
    <w:rsid w:val="00C77CC5"/>
    <w:rsid w:val="00CC7376"/>
    <w:rsid w:val="00D05708"/>
    <w:rsid w:val="00D232B0"/>
    <w:rsid w:val="00D4119F"/>
    <w:rsid w:val="00D871D0"/>
    <w:rsid w:val="00D87A36"/>
    <w:rsid w:val="00DA44FC"/>
    <w:rsid w:val="00DD6DB2"/>
    <w:rsid w:val="00E154FA"/>
    <w:rsid w:val="00EC3BF1"/>
    <w:rsid w:val="00F00945"/>
    <w:rsid w:val="00F1320A"/>
    <w:rsid w:val="00F1647B"/>
    <w:rsid w:val="00F20530"/>
    <w:rsid w:val="00F22857"/>
    <w:rsid w:val="00F5312C"/>
    <w:rsid w:val="00FE6708"/>
    <w:rsid w:val="3BB93DEC"/>
    <w:rsid w:val="3D8E2C11"/>
    <w:rsid w:val="653FE4BA"/>
    <w:rsid w:val="6F93A4AF"/>
    <w:rsid w:val="EDB67D59"/>
    <w:rsid w:val="F5264ABB"/>
    <w:rsid w:val="FFFF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2263E9"/>
  <w15:docId w15:val="{0C2BABE0-AF00-4FA3-BA08-E2CE2C76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200" w:line="276" w:lineRule="auto"/>
    </w:pPr>
    <w:rPr>
      <w:color w:val="000000"/>
      <w:sz w:val="22"/>
      <w:szCs w:val="22"/>
      <w:lang w:val="es-CR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1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1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1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1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1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1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1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1"/>
    <w:pPr>
      <w:spacing w:after="0" w:line="240" w:lineRule="auto"/>
    </w:pPr>
    <w:tblPr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99"/>
    <w:rsid w:val="00D4119F"/>
    <w:pPr>
      <w:ind w:left="720"/>
      <w:contextualSpacing/>
    </w:pPr>
  </w:style>
  <w:style w:type="paragraph" w:styleId="Encabezado">
    <w:name w:val="header"/>
    <w:basedOn w:val="Normal"/>
    <w:link w:val="EncabezadoCar"/>
    <w:rsid w:val="00712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12F18"/>
    <w:rPr>
      <w:color w:val="000000"/>
      <w:sz w:val="22"/>
      <w:szCs w:val="22"/>
      <w:lang w:val="es-CR"/>
    </w:rPr>
  </w:style>
  <w:style w:type="paragraph" w:styleId="Piedepgina">
    <w:name w:val="footer"/>
    <w:basedOn w:val="Normal"/>
    <w:link w:val="PiedepginaCar"/>
    <w:rsid w:val="00712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712F18"/>
    <w:rPr>
      <w:color w:val="000000"/>
      <w:sz w:val="22"/>
      <w:szCs w:val="22"/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4</Pages>
  <Words>506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npuente</dc:creator>
  <cp:lastModifiedBy>Sofia Ramos</cp:lastModifiedBy>
  <cp:revision>46</cp:revision>
  <dcterms:created xsi:type="dcterms:W3CDTF">2021-01-22T21:55:00Z</dcterms:created>
  <dcterms:modified xsi:type="dcterms:W3CDTF">2026-07-21T18:06:00Z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17418֠-10.1.0.5672</vt:lpwstr>
  </property>
  <property fmtid="{D5CDD505-2E9C-101B-9397-08002B2CF9AE}" pid="3" name="KriptosClassAi">
    <vt:lpwstr>1-Uso Interno</vt:lpwstr>
  </property>
</Properties>
</file>