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drawing>
          <wp:inline xmlns:a="http://schemas.openxmlformats.org/drawingml/2006/main" xmlns:pic="http://schemas.openxmlformats.org/drawingml/2006/picture">
            <wp:extent cx="5669280" cy="1842516"/>
            <wp:docPr id="1" name="Picture 1"/>
            <wp:cNvGraphicFramePr>
              <a:graphicFrameLocks noChangeAspect="1"/>
            </wp:cNvGraphicFramePr>
            <a:graphic>
              <a:graphicData uri="http://schemas.openxmlformats.org/drawingml/2006/picture">
                <pic:pic>
                  <pic:nvPicPr>
                    <pic:cNvPr id="0" name="AutoFlow_logo_fondo_claro.png"/>
                    <pic:cNvPicPr/>
                  </pic:nvPicPr>
                  <pic:blipFill>
                    <a:blip r:embed="rId10"/>
                    <a:stretch>
                      <a:fillRect/>
                    </a:stretch>
                  </pic:blipFill>
                  <pic:spPr>
                    <a:xfrm>
                      <a:off x="0" y="0"/>
                      <a:ext cx="5669280" cy="1842516"/>
                    </a:xfrm>
                    <a:prstGeom prst="rect"/>
                  </pic:spPr>
                </pic:pic>
              </a:graphicData>
            </a:graphic>
          </wp:inline>
        </w:drawing>
      </w:r>
    </w:p>
    <w:p>
      <w:pPr>
        <w:spacing w:before="0"/>
        <w:jc w:val="center"/>
      </w:pPr>
      <w:r>
        <w:rPr>
          <w:b/>
          <w:color w:val="2563EB"/>
          <w:sz w:val="32"/>
        </w:rPr>
        <w:t>TAREA 7</w:t>
      </w:r>
    </w:p>
    <w:p>
      <w:pPr>
        <w:spacing w:before="0"/>
        <w:jc w:val="center"/>
      </w:pPr>
      <w:r>
        <w:rPr>
          <w:b/>
          <w:color w:val="0F172A"/>
          <w:sz w:val="44"/>
        </w:rPr>
        <w:t>MANUAL BÁSICO DE IDENTIDAD CORPORATIVA</w:t>
      </w:r>
    </w:p>
    <w:p>
      <w:pPr>
        <w:spacing w:before="0"/>
        <w:jc w:val="center"/>
      </w:pPr>
      <w:r>
        <w:rPr>
          <w:b/>
          <w:color w:val="2563EB"/>
          <w:sz w:val="36"/>
        </w:rPr>
        <w:t>AutoFlow</w:t>
      </w:r>
    </w:p>
    <w:p>
      <w:pPr>
        <w:spacing w:before="0"/>
        <w:jc w:val="center"/>
      </w:pPr>
      <w:r>
        <w:rPr>
          <w:b w:val="0"/>
          <w:color w:val="0F172A"/>
          <w:sz w:val="24"/>
        </w:rPr>
        <w:t>Plataforma automatizada de aprovisionamiento y configuración de infraestructura IT</w:t>
      </w:r>
    </w:p>
    <w:p>
      <w:pPr>
        <w:spacing w:before="1400"/>
        <w:jc w:val="center"/>
      </w:pPr>
      <w:r>
        <w:rPr>
          <w:b w:val="0"/>
          <w:color w:val="0F172A"/>
          <w:sz w:val="22"/>
        </w:rPr>
        <w:t>Proyecto Intermodular · 2.º curso</w:t>
      </w:r>
    </w:p>
    <w:p>
      <w:r>
        <w:br w:type="page"/>
      </w:r>
    </w:p>
    <w:p>
      <w:pPr>
        <w:pStyle w:val="Heading1"/>
      </w:pPr>
      <w:r>
        <w:rPr>
          <w:rFonts w:ascii="Arial" w:hAnsi="Arial"/>
          <w:b/>
          <w:color w:val="0F172A"/>
          <w:sz w:val="36"/>
        </w:rPr>
        <w:t>1. Creación del Manual Básico de Identidad Corporativa</w:t>
      </w:r>
    </w:p>
    <w:p>
      <w:pPr>
        <w:spacing w:line="360" w:lineRule="auto"/>
        <w:jc w:val="both"/>
      </w:pPr>
      <w:r>
        <w:rPr>
          <w:rFonts w:ascii="Arial" w:hAnsi="Arial"/>
          <w:sz w:val="24"/>
        </w:rPr>
        <w:t>La identidad corporativa de una empresa tecnológica refleja su personalidad, sus principios, su forma de trabajo y su compromiso con los clientes, la sociedad y el medio ambiente. En este manual se define la identidad corporativa de AutoFlow, una propuesta del sector TIC centrada en la automatización del aprovisionamiento y la configuración de infraestructura empresarial.</w:t>
      </w:r>
    </w:p>
    <w:p>
      <w:pPr>
        <w:spacing w:line="360" w:lineRule="auto"/>
        <w:jc w:val="both"/>
      </w:pPr>
      <w:r>
        <w:rPr>
          <w:rFonts w:ascii="Arial" w:hAnsi="Arial"/>
          <w:sz w:val="24"/>
        </w:rPr>
        <w:t>El manual establece una base común para comunicar quién es AutoFlow, qué hace, qué valores defiende y cómo debe representarse visualmente. La identidad propuesta busca transmitir tecnología, automatización, eficiencia, fiabilidad y sostenibilidad.</w:t>
      </w:r>
    </w:p>
    <w:p>
      <w:pPr>
        <w:spacing w:line="360" w:lineRule="auto"/>
        <w:jc w:val="both"/>
      </w:pPr>
      <w:r>
        <w:rPr>
          <w:rFonts w:ascii="Arial" w:hAnsi="Arial"/>
          <w:sz w:val="24"/>
        </w:rPr>
        <w:t>AutoFlow parte de una oportunidad detectada en empresas del ámbito TIC y de servicios digitales de la Comunitat Valenciana: la necesidad de reducir los tiempos y errores asociados a configuraciones manuales de infraestructura. La solución se basa en Terraform y Ansible, de manera que la infraestructura y su configuración pueden gestionarse como código.</w:t>
      </w:r>
    </w:p>
    <w:p>
      <w:pPr>
        <w:spacing w:line="360" w:lineRule="auto"/>
        <w:jc w:val="both"/>
      </w:pPr>
      <w:r>
        <w:rPr>
          <w:rFonts w:ascii="Arial" w:hAnsi="Arial"/>
          <w:sz w:val="24"/>
        </w:rPr>
        <w:t>Este manual se plantea como una herramienta práctica para mantener una comunicación visual coherente en documentación, presentaciones, interfaces, publicidad y otros soportes.</w:t>
      </w:r>
    </w:p>
    <w:p>
      <w:pPr>
        <w:pStyle w:val="Heading1"/>
      </w:pPr>
      <w:r>
        <w:rPr>
          <w:rFonts w:ascii="Arial" w:hAnsi="Arial"/>
          <w:b/>
          <w:color w:val="0F172A"/>
          <w:sz w:val="36"/>
        </w:rPr>
        <w:t>2. Objetivos</w:t>
      </w:r>
    </w:p>
    <w:p>
      <w:pPr>
        <w:pStyle w:val="ListBullet"/>
        <w:spacing w:line="360" w:lineRule="auto"/>
      </w:pPr>
      <w:r>
        <w:rPr>
          <w:rFonts w:ascii="Arial" w:hAnsi="Arial"/>
          <w:sz w:val="24"/>
        </w:rPr>
        <w:t>Definir la cultura corporativa de AutoFlow dentro del sector informático y de servicios digitales.</w:t>
      </w:r>
    </w:p>
    <w:p>
      <w:pPr>
        <w:pStyle w:val="ListBullet"/>
        <w:spacing w:line="360" w:lineRule="auto"/>
      </w:pPr>
      <w:r>
        <w:rPr>
          <w:rFonts w:ascii="Arial" w:hAnsi="Arial"/>
          <w:sz w:val="24"/>
        </w:rPr>
        <w:t>Formular la Misión, la Visión y los Valores corporativos.</w:t>
      </w:r>
    </w:p>
    <w:p>
      <w:pPr>
        <w:pStyle w:val="ListBullet"/>
        <w:spacing w:line="360" w:lineRule="auto"/>
      </w:pPr>
      <w:r>
        <w:rPr>
          <w:rFonts w:ascii="Arial" w:hAnsi="Arial"/>
          <w:sz w:val="24"/>
        </w:rPr>
        <w:t>Identificar y justificar los ODS de la Agenda 2030 relacionados con la actividad de AutoFlow.</w:t>
      </w:r>
    </w:p>
    <w:p>
      <w:pPr>
        <w:pStyle w:val="ListBullet"/>
        <w:spacing w:line="360" w:lineRule="auto"/>
      </w:pPr>
      <w:r>
        <w:rPr>
          <w:rFonts w:ascii="Arial" w:hAnsi="Arial"/>
          <w:sz w:val="24"/>
        </w:rPr>
        <w:t>Diseñar una identidad visual corporativa coherente con la actividad tecnológica de la empresa.</w:t>
      </w:r>
    </w:p>
    <w:p>
      <w:pPr>
        <w:pStyle w:val="ListBullet"/>
        <w:spacing w:line="360" w:lineRule="auto"/>
      </w:pPr>
      <w:r>
        <w:rPr>
          <w:rFonts w:ascii="Arial" w:hAnsi="Arial"/>
          <w:sz w:val="24"/>
        </w:rPr>
        <w:t>Crear el logotipo y el imagotipo de AutoFlow.</w:t>
      </w:r>
    </w:p>
    <w:p>
      <w:pPr>
        <w:pStyle w:val="ListBullet"/>
        <w:spacing w:line="360" w:lineRule="auto"/>
      </w:pPr>
      <w:r>
        <w:rPr>
          <w:rFonts w:ascii="Arial" w:hAnsi="Arial"/>
          <w:sz w:val="24"/>
        </w:rPr>
        <w:t>Definir una gama cromática corporativa con códigos HEX, RGB y CMYK.</w:t>
      </w:r>
    </w:p>
    <w:p>
      <w:pPr>
        <w:pStyle w:val="ListBullet"/>
        <w:spacing w:line="360" w:lineRule="auto"/>
      </w:pPr>
      <w:r>
        <w:rPr>
          <w:rFonts w:ascii="Arial" w:hAnsi="Arial"/>
          <w:sz w:val="24"/>
        </w:rPr>
        <w:t>Seleccionar las tipografías corporativas y establecer sus usos.</w:t>
      </w:r>
    </w:p>
    <w:p>
      <w:pPr>
        <w:pStyle w:val="ListBullet"/>
        <w:spacing w:line="360" w:lineRule="auto"/>
      </w:pPr>
      <w:r>
        <w:rPr>
          <w:rFonts w:ascii="Arial" w:hAnsi="Arial"/>
          <w:sz w:val="24"/>
        </w:rPr>
        <w:t>Establecer normas básicas para los usos autorizados e incorrectos de la identidad visual.</w:t>
      </w:r>
    </w:p>
    <w:p>
      <w:pPr>
        <w:pStyle w:val="ListBullet"/>
        <w:spacing w:line="360" w:lineRule="auto"/>
      </w:pPr>
      <w:r>
        <w:rPr>
          <w:rFonts w:ascii="Arial" w:hAnsi="Arial"/>
          <w:sz w:val="24"/>
        </w:rPr>
        <w:t>Presentar toda la información en un documento profesional y coherente.</w:t>
      </w:r>
    </w:p>
    <w:p>
      <w:pPr>
        <w:pStyle w:val="Heading1"/>
      </w:pPr>
      <w:r>
        <w:rPr>
          <w:rFonts w:ascii="Arial" w:hAnsi="Arial"/>
          <w:b/>
          <w:color w:val="0F172A"/>
          <w:sz w:val="36"/>
        </w:rPr>
        <w:t>3. Contenido mínimo del manual</w:t>
      </w:r>
    </w:p>
    <w:p>
      <w:pPr>
        <w:spacing w:line="360" w:lineRule="auto"/>
        <w:jc w:val="both"/>
      </w:pPr>
      <w:r>
        <w:rPr>
          <w:rFonts w:ascii="Arial" w:hAnsi="Arial"/>
          <w:sz w:val="24"/>
        </w:rPr>
        <w:t>A continuación se desarrolla el contenido mínimo establecido para la Tarea 7, aplicado específicamente a AutoFlow.</w:t>
      </w:r>
    </w:p>
    <w:p>
      <w:pPr>
        <w:pStyle w:val="Heading2"/>
      </w:pPr>
      <w:r>
        <w:rPr>
          <w:rFonts w:ascii="Arial" w:hAnsi="Arial"/>
          <w:b/>
          <w:color w:val="0F172A"/>
          <w:sz w:val="30"/>
        </w:rPr>
        <w:t>3.1 Presentación de la empresa</w:t>
      </w:r>
    </w:p>
    <w:tbl>
      <w:tblPr>
        <w:tblW w:type="auto" w:w="0"/>
        <w:jc w:val="center"/>
        <w:tblLook w:firstColumn="1" w:firstRow="1" w:lastColumn="0" w:lastRow="0" w:noHBand="0" w:noVBand="1" w:val="04A0"/>
      </w:tblPr>
      <w:tblGrid>
        <w:gridCol w:w="4709"/>
        <w:gridCol w:w="4709"/>
      </w:tblGrid>
      <w:tr>
        <w:tc>
          <w:tcPr>
            <w:tcW w:type="dxa" w:w="4709"/>
            <w:vAlign w:val="center"/>
            <w:shd w:fill="0F172A"/>
          </w:tcPr>
          <w:p>
            <w:r/>
            <w:r>
              <w:rPr>
                <w:rFonts w:ascii="Arial" w:hAnsi="Arial"/>
                <w:b/>
                <w:color w:val="FFFFFF"/>
                <w:sz w:val="22"/>
              </w:rPr>
              <w:t>Elemento</w:t>
            </w:r>
          </w:p>
        </w:tc>
        <w:tc>
          <w:tcPr>
            <w:tcW w:type="dxa" w:w="4709"/>
            <w:vAlign w:val="center"/>
            <w:shd w:fill="0F172A"/>
          </w:tcPr>
          <w:p>
            <w:r/>
            <w:r>
              <w:rPr>
                <w:rFonts w:ascii="Arial" w:hAnsi="Arial"/>
                <w:b/>
                <w:color w:val="FFFFFF"/>
                <w:sz w:val="22"/>
              </w:rPr>
              <w:t>Definición</w:t>
            </w:r>
          </w:p>
        </w:tc>
      </w:tr>
      <w:tr>
        <w:tc>
          <w:tcPr>
            <w:tcW w:type="dxa" w:w="4709"/>
            <w:vAlign w:val="center"/>
          </w:tcPr>
          <w:p>
            <w:r/>
            <w:r>
              <w:rPr>
                <w:rFonts w:ascii="Arial" w:hAnsi="Arial"/>
                <w:b/>
                <w:color w:val="0F172A"/>
                <w:sz w:val="20"/>
              </w:rPr>
              <w:t>Nombre comercial</w:t>
            </w:r>
          </w:p>
        </w:tc>
        <w:tc>
          <w:tcPr>
            <w:tcW w:type="dxa" w:w="4709"/>
            <w:vAlign w:val="center"/>
          </w:tcPr>
          <w:p>
            <w:r/>
            <w:r>
              <w:rPr>
                <w:rFonts w:ascii="Arial" w:hAnsi="Arial"/>
                <w:b w:val="0"/>
                <w:color w:val="0F172A"/>
                <w:sz w:val="20"/>
              </w:rPr>
              <w:t>AutoFlow</w:t>
            </w:r>
          </w:p>
        </w:tc>
      </w:tr>
      <w:tr>
        <w:tc>
          <w:tcPr>
            <w:tcW w:type="dxa" w:w="4709"/>
            <w:vAlign w:val="center"/>
          </w:tcPr>
          <w:p>
            <w:r/>
            <w:r>
              <w:rPr>
                <w:rFonts w:ascii="Arial" w:hAnsi="Arial"/>
                <w:b/>
                <w:color w:val="0F172A"/>
                <w:sz w:val="20"/>
              </w:rPr>
              <w:t>Actividad</w:t>
            </w:r>
          </w:p>
        </w:tc>
        <w:tc>
          <w:tcPr>
            <w:tcW w:type="dxa" w:w="4709"/>
            <w:vAlign w:val="center"/>
          </w:tcPr>
          <w:p>
            <w:r/>
            <w:r>
              <w:rPr>
                <w:rFonts w:ascii="Arial" w:hAnsi="Arial"/>
                <w:b w:val="0"/>
                <w:color w:val="0F172A"/>
                <w:sz w:val="20"/>
              </w:rPr>
              <w:t>Automatización del aprovisionamiento y configuración de infraestructura para entornos empresariales mediante Terraform y Ansible.</w:t>
            </w:r>
          </w:p>
        </w:tc>
      </w:tr>
      <w:tr>
        <w:tc>
          <w:tcPr>
            <w:tcW w:type="dxa" w:w="4709"/>
            <w:vAlign w:val="center"/>
          </w:tcPr>
          <w:p>
            <w:r/>
            <w:r>
              <w:rPr>
                <w:rFonts w:ascii="Arial" w:hAnsi="Arial"/>
                <w:b/>
                <w:color w:val="0F172A"/>
                <w:sz w:val="20"/>
              </w:rPr>
              <w:t>Servicios principales</w:t>
            </w:r>
          </w:p>
        </w:tc>
        <w:tc>
          <w:tcPr>
            <w:tcW w:type="dxa" w:w="4709"/>
            <w:vAlign w:val="center"/>
          </w:tcPr>
          <w:p>
            <w:r/>
            <w:r>
              <w:rPr>
                <w:rFonts w:ascii="Arial" w:hAnsi="Arial"/>
                <w:b w:val="0"/>
                <w:color w:val="0F172A"/>
                <w:sz w:val="20"/>
              </w:rPr>
              <w:t>Aprovisionamiento automatizado, configuración de servidores y entornos, creación y destrucción bajo demanda y estandarización de configuraciones.</w:t>
            </w:r>
          </w:p>
        </w:tc>
      </w:tr>
      <w:tr>
        <w:tc>
          <w:tcPr>
            <w:tcW w:type="dxa" w:w="4709"/>
            <w:vAlign w:val="center"/>
          </w:tcPr>
          <w:p>
            <w:r/>
            <w:r>
              <w:rPr>
                <w:rFonts w:ascii="Arial" w:hAnsi="Arial"/>
                <w:b/>
                <w:color w:val="0F172A"/>
                <w:sz w:val="20"/>
              </w:rPr>
              <w:t>Público objetivo</w:t>
            </w:r>
          </w:p>
        </w:tc>
        <w:tc>
          <w:tcPr>
            <w:tcW w:type="dxa" w:w="4709"/>
            <w:vAlign w:val="center"/>
          </w:tcPr>
          <w:p>
            <w:r/>
            <w:r>
              <w:rPr>
                <w:rFonts w:ascii="Arial" w:hAnsi="Arial"/>
                <w:b w:val="0"/>
                <w:color w:val="0F172A"/>
                <w:sz w:val="20"/>
              </w:rPr>
              <w:t>PYMEs y empresas de servicios cloud, consultoría tecnológica y soporte IT, especialmente de los sectores logístico, portuario e industrial de la Comunitat Valenciana.</w:t>
            </w:r>
          </w:p>
        </w:tc>
      </w:tr>
      <w:tr>
        <w:tc>
          <w:tcPr>
            <w:tcW w:type="dxa" w:w="4709"/>
            <w:vAlign w:val="center"/>
          </w:tcPr>
          <w:p>
            <w:r/>
            <w:r>
              <w:rPr>
                <w:rFonts w:ascii="Arial" w:hAnsi="Arial"/>
                <w:b/>
                <w:color w:val="0F172A"/>
                <w:sz w:val="20"/>
              </w:rPr>
              <w:t>Descripción breve</w:t>
            </w:r>
          </w:p>
        </w:tc>
        <w:tc>
          <w:tcPr>
            <w:tcW w:type="dxa" w:w="4709"/>
            <w:vAlign w:val="center"/>
          </w:tcPr>
          <w:p>
            <w:r/>
            <w:r>
              <w:rPr>
                <w:rFonts w:ascii="Arial" w:hAnsi="Arial"/>
                <w:b w:val="0"/>
                <w:color w:val="0F172A"/>
                <w:sz w:val="20"/>
              </w:rPr>
              <w:t>AutoFlow transforma procesos manuales y repetitivos de infraestructura en flujos automatizados y reproducibles mediante Infrastructure as Code.</w:t>
            </w:r>
          </w:p>
        </w:tc>
      </w:tr>
      <w:tr>
        <w:tc>
          <w:tcPr>
            <w:tcW w:type="dxa" w:w="4709"/>
            <w:vAlign w:val="center"/>
          </w:tcPr>
          <w:p>
            <w:r/>
            <w:r>
              <w:rPr>
                <w:rFonts w:ascii="Arial" w:hAnsi="Arial"/>
                <w:b/>
                <w:color w:val="0F172A"/>
                <w:sz w:val="20"/>
              </w:rPr>
              <w:t>Eslogan / claim</w:t>
            </w:r>
          </w:p>
        </w:tc>
        <w:tc>
          <w:tcPr>
            <w:tcW w:type="dxa" w:w="4709"/>
            <w:vAlign w:val="center"/>
          </w:tcPr>
          <w:p>
            <w:r/>
            <w:r>
              <w:rPr>
                <w:rFonts w:ascii="Arial" w:hAnsi="Arial"/>
                <w:b w:val="0"/>
                <w:color w:val="0F172A"/>
                <w:sz w:val="20"/>
              </w:rPr>
              <w:t>Infraestructura en minutos, no en días.</w:t>
            </w:r>
          </w:p>
        </w:tc>
      </w:tr>
    </w:tbl>
    <w:p>
      <w:pPr>
        <w:spacing w:line="360" w:lineRule="auto"/>
        <w:jc w:val="both"/>
      </w:pPr>
      <w:r>
        <w:rPr>
          <w:rFonts w:ascii="Arial" w:hAnsi="Arial"/>
          <w:sz w:val="24"/>
        </w:rPr>
        <w:t>La elección del público objetivo responde al diagnóstico de oportunidad, que sitúa AutoFlow en el sector TIC/servicios digitales y especialmente en PYMEs de los ámbitos logístico, portuario e industrial de la Comunitat Valenciana.</w:t>
      </w:r>
    </w:p>
    <w:p>
      <w:pPr>
        <w:spacing w:line="360" w:lineRule="auto"/>
        <w:jc w:val="both"/>
      </w:pPr>
      <w:r>
        <w:rPr>
          <w:rFonts w:ascii="Arial" w:hAnsi="Arial"/>
          <w:sz w:val="24"/>
        </w:rPr>
        <w:t>El claim resume la principal propuesta de valor: reducir drásticamente el tiempo dedicado a configuraciones que, realizadas manualmente, pueden tardar días.</w:t>
      </w:r>
    </w:p>
    <w:p>
      <w:pPr>
        <w:pStyle w:val="Heading2"/>
      </w:pPr>
      <w:r>
        <w:rPr>
          <w:rFonts w:ascii="Arial" w:hAnsi="Arial"/>
          <w:b/>
          <w:color w:val="0F172A"/>
          <w:sz w:val="30"/>
        </w:rPr>
        <w:t>3.2 Cultura corporativa</w:t>
      </w:r>
    </w:p>
    <w:p>
      <w:pPr>
        <w:pStyle w:val="Heading3"/>
      </w:pPr>
      <w:r>
        <w:rPr>
          <w:rFonts w:ascii="Arial" w:hAnsi="Arial"/>
          <w:b/>
          <w:color w:val="0F172A"/>
          <w:sz w:val="30"/>
        </w:rPr>
        <w:t>Misión</w:t>
      </w:r>
    </w:p>
    <w:p>
      <w:pPr>
        <w:spacing w:line="360" w:lineRule="auto"/>
        <w:jc w:val="both"/>
      </w:pPr>
      <w:r>
        <w:rPr>
          <w:rFonts w:ascii="Arial" w:hAnsi="Arial"/>
          <w:sz w:val="24"/>
        </w:rPr>
        <w:t>Automatizar y simplificar la gestión de infraestructuras IT para que las empresas puedan desplegar entornos de forma rápida, repetible y controlada, reduciendo tareas manuales, errores y consumo innecesario de recursos.</w:t>
      </w:r>
    </w:p>
    <w:p>
      <w:pPr>
        <w:pStyle w:val="Heading3"/>
      </w:pPr>
      <w:r>
        <w:rPr>
          <w:rFonts w:ascii="Arial" w:hAnsi="Arial"/>
          <w:b/>
          <w:color w:val="0F172A"/>
          <w:sz w:val="30"/>
        </w:rPr>
        <w:t>Visión</w:t>
      </w:r>
    </w:p>
    <w:p>
      <w:pPr>
        <w:spacing w:line="360" w:lineRule="auto"/>
        <w:jc w:val="both"/>
      </w:pPr>
      <w:r>
        <w:rPr>
          <w:rFonts w:ascii="Arial" w:hAnsi="Arial"/>
          <w:sz w:val="24"/>
        </w:rPr>
        <w:t>Convertirse en una solución de referencia para la automatización de infraestructura IT de las PYMEs de la Comunitat Valenciana, impulsando modelos de trabajo más eficientes, sostenibles, trazables y preparados para crecer.</w:t>
      </w:r>
    </w:p>
    <w:p>
      <w:pPr>
        <w:pStyle w:val="Heading3"/>
      </w:pPr>
      <w:r>
        <w:rPr>
          <w:rFonts w:ascii="Arial" w:hAnsi="Arial"/>
          <w:b/>
          <w:color w:val="0F172A"/>
          <w:sz w:val="30"/>
        </w:rPr>
        <w:t>Valores corporativos</w:t>
      </w:r>
    </w:p>
    <w:tbl>
      <w:tblPr>
        <w:tblW w:type="auto" w:w="0"/>
        <w:tblLook w:firstColumn="1" w:firstRow="1" w:lastColumn="0" w:lastRow="0" w:noHBand="0" w:noVBand="1" w:val="04A0"/>
      </w:tblPr>
      <w:tblGrid>
        <w:gridCol w:w="4709"/>
        <w:gridCol w:w="4709"/>
      </w:tblGrid>
      <w:tr>
        <w:tc>
          <w:tcPr>
            <w:tcW w:type="dxa" w:w="4709"/>
            <w:vAlign w:val="center"/>
            <w:shd w:fill="0F172A"/>
          </w:tcPr>
          <w:p>
            <w:r/>
            <w:r>
              <w:rPr>
                <w:rFonts w:ascii="Arial" w:hAnsi="Arial"/>
                <w:b/>
                <w:color w:val="FFFFFF"/>
                <w:sz w:val="22"/>
              </w:rPr>
              <w:t>Valor</w:t>
            </w:r>
          </w:p>
        </w:tc>
        <w:tc>
          <w:tcPr>
            <w:tcW w:type="dxa" w:w="4709"/>
            <w:vAlign w:val="center"/>
            <w:shd w:fill="0F172A"/>
          </w:tcPr>
          <w:p>
            <w:r/>
            <w:r>
              <w:rPr>
                <w:rFonts w:ascii="Arial" w:hAnsi="Arial"/>
                <w:b/>
                <w:color w:val="FFFFFF"/>
                <w:sz w:val="22"/>
              </w:rPr>
              <w:t>Aplicación en AutoFlow</w:t>
            </w:r>
          </w:p>
        </w:tc>
      </w:tr>
      <w:tr>
        <w:tc>
          <w:tcPr>
            <w:tcW w:type="dxa" w:w="4709"/>
            <w:vAlign w:val="center"/>
          </w:tcPr>
          <w:p>
            <w:r/>
            <w:r>
              <w:rPr>
                <w:rFonts w:ascii="Arial" w:hAnsi="Arial"/>
                <w:b/>
                <w:color w:val="0F172A"/>
                <w:sz w:val="20"/>
              </w:rPr>
              <w:t>Automatización</w:t>
            </w:r>
          </w:p>
        </w:tc>
        <w:tc>
          <w:tcPr>
            <w:tcW w:type="dxa" w:w="4709"/>
            <w:vAlign w:val="center"/>
          </w:tcPr>
          <w:p>
            <w:r/>
            <w:r>
              <w:rPr>
                <w:rFonts w:ascii="Arial" w:hAnsi="Arial"/>
                <w:b w:val="0"/>
                <w:color w:val="0F172A"/>
                <w:sz w:val="20"/>
              </w:rPr>
              <w:t>Convertir tareas repetitivas en procesos reproducibles mediante código y herramientas profesionales.</w:t>
            </w:r>
          </w:p>
        </w:tc>
      </w:tr>
      <w:tr>
        <w:tc>
          <w:tcPr>
            <w:tcW w:type="dxa" w:w="4709"/>
            <w:vAlign w:val="center"/>
          </w:tcPr>
          <w:p>
            <w:r/>
            <w:r>
              <w:rPr>
                <w:rFonts w:ascii="Arial" w:hAnsi="Arial"/>
                <w:b/>
                <w:color w:val="0F172A"/>
                <w:sz w:val="20"/>
              </w:rPr>
              <w:t>Eficiencia</w:t>
            </w:r>
          </w:p>
        </w:tc>
        <w:tc>
          <w:tcPr>
            <w:tcW w:type="dxa" w:w="4709"/>
            <w:vAlign w:val="center"/>
          </w:tcPr>
          <w:p>
            <w:r/>
            <w:r>
              <w:rPr>
                <w:rFonts w:ascii="Arial" w:hAnsi="Arial"/>
                <w:b w:val="0"/>
                <w:color w:val="0F172A"/>
                <w:sz w:val="20"/>
              </w:rPr>
              <w:t>Reducir tiempos de configuración y el uso innecesario de recursos técnicos y energéticos.</w:t>
            </w:r>
          </w:p>
        </w:tc>
      </w:tr>
      <w:tr>
        <w:tc>
          <w:tcPr>
            <w:tcW w:type="dxa" w:w="4709"/>
            <w:vAlign w:val="center"/>
          </w:tcPr>
          <w:p>
            <w:r/>
            <w:r>
              <w:rPr>
                <w:rFonts w:ascii="Arial" w:hAnsi="Arial"/>
                <w:b/>
                <w:color w:val="0F172A"/>
                <w:sz w:val="20"/>
              </w:rPr>
              <w:t>Fiabilidad</w:t>
            </w:r>
          </w:p>
        </w:tc>
        <w:tc>
          <w:tcPr>
            <w:tcW w:type="dxa" w:w="4709"/>
            <w:vAlign w:val="center"/>
          </w:tcPr>
          <w:p>
            <w:r/>
            <w:r>
              <w:rPr>
                <w:rFonts w:ascii="Arial" w:hAnsi="Arial"/>
                <w:b w:val="0"/>
                <w:color w:val="0F172A"/>
                <w:sz w:val="20"/>
              </w:rPr>
              <w:t>Favorecer configuraciones homogéneas, repetibles y auditables para disminuir los errores humanos.</w:t>
            </w:r>
          </w:p>
        </w:tc>
      </w:tr>
      <w:tr>
        <w:tc>
          <w:tcPr>
            <w:tcW w:type="dxa" w:w="4709"/>
            <w:vAlign w:val="center"/>
          </w:tcPr>
          <w:p>
            <w:r/>
            <w:r>
              <w:rPr>
                <w:rFonts w:ascii="Arial" w:hAnsi="Arial"/>
                <w:b/>
                <w:color w:val="0F172A"/>
                <w:sz w:val="20"/>
              </w:rPr>
              <w:t>Seguridad</w:t>
            </w:r>
          </w:p>
        </w:tc>
        <w:tc>
          <w:tcPr>
            <w:tcW w:type="dxa" w:w="4709"/>
            <w:vAlign w:val="center"/>
          </w:tcPr>
          <w:p>
            <w:r/>
            <w:r>
              <w:rPr>
                <w:rFonts w:ascii="Arial" w:hAnsi="Arial"/>
                <w:b w:val="0"/>
                <w:color w:val="0F172A"/>
                <w:sz w:val="20"/>
              </w:rPr>
              <w:t>Promover buenas prácticas de configuración, trazabilidad y control en los entornos gestionados.</w:t>
            </w:r>
          </w:p>
        </w:tc>
      </w:tr>
      <w:tr>
        <w:tc>
          <w:tcPr>
            <w:tcW w:type="dxa" w:w="4709"/>
            <w:vAlign w:val="center"/>
          </w:tcPr>
          <w:p>
            <w:r/>
            <w:r>
              <w:rPr>
                <w:rFonts w:ascii="Arial" w:hAnsi="Arial"/>
                <w:b/>
                <w:color w:val="0F172A"/>
                <w:sz w:val="20"/>
              </w:rPr>
              <w:t>Innovación</w:t>
            </w:r>
          </w:p>
        </w:tc>
        <w:tc>
          <w:tcPr>
            <w:tcW w:type="dxa" w:w="4709"/>
            <w:vAlign w:val="center"/>
          </w:tcPr>
          <w:p>
            <w:r/>
            <w:r>
              <w:rPr>
                <w:rFonts w:ascii="Arial" w:hAnsi="Arial"/>
                <w:b w:val="0"/>
                <w:color w:val="0F172A"/>
                <w:sz w:val="20"/>
              </w:rPr>
              <w:t>Aplicar tecnologías actuales de infraestructura como código para responder a necesidades reales del sector TIC.</w:t>
            </w:r>
          </w:p>
        </w:tc>
      </w:tr>
      <w:tr>
        <w:tc>
          <w:tcPr>
            <w:tcW w:type="dxa" w:w="4709"/>
            <w:vAlign w:val="center"/>
          </w:tcPr>
          <w:p>
            <w:r/>
            <w:r>
              <w:rPr>
                <w:rFonts w:ascii="Arial" w:hAnsi="Arial"/>
                <w:b/>
                <w:color w:val="0F172A"/>
                <w:sz w:val="20"/>
              </w:rPr>
              <w:t>Sostenibilidad</w:t>
            </w:r>
          </w:p>
        </w:tc>
        <w:tc>
          <w:tcPr>
            <w:tcW w:type="dxa" w:w="4709"/>
            <w:vAlign w:val="center"/>
          </w:tcPr>
          <w:p>
            <w:r/>
            <w:r>
              <w:rPr>
                <w:rFonts w:ascii="Arial" w:hAnsi="Arial"/>
                <w:b w:val="0"/>
                <w:color w:val="0F172A"/>
                <w:sz w:val="20"/>
              </w:rPr>
              <w:t>Fomentar un uso racional de los recursos informáticos y energéticos, evitando mantener activos entornos que no sean necesarios.</w:t>
            </w:r>
          </w:p>
        </w:tc>
      </w:tr>
    </w:tbl>
    <w:p>
      <w:pPr>
        <w:pStyle w:val="Heading2"/>
      </w:pPr>
      <w:r>
        <w:rPr>
          <w:rFonts w:ascii="Arial" w:hAnsi="Arial"/>
          <w:b/>
          <w:color w:val="0F172A"/>
          <w:sz w:val="30"/>
        </w:rPr>
        <w:t>3.3 ODS y Agenda 2030</w:t>
      </w:r>
    </w:p>
    <w:p>
      <w:pPr>
        <w:spacing w:line="360" w:lineRule="auto"/>
        <w:jc w:val="both"/>
      </w:pPr>
      <w:r>
        <w:rPr>
          <w:rFonts w:ascii="Arial" w:hAnsi="Arial"/>
          <w:sz w:val="24"/>
        </w:rPr>
        <w:t>La actividad de AutoFlow permite relacionar su propuesta de valor con varios Objetivos de Desarrollo Sostenible. Se seleccionan tres por su relación directa con la innovación tecnológica, la eficiencia de las infraestructuras y el uso responsable de recursos.</w:t>
      </w:r>
    </w:p>
    <w:p>
      <w:pPr>
        <w:pStyle w:val="Heading3"/>
      </w:pPr>
      <w:r>
        <w:rPr>
          <w:rFonts w:ascii="Arial" w:hAnsi="Arial"/>
          <w:b/>
          <w:color w:val="0F172A"/>
          <w:sz w:val="30"/>
        </w:rPr>
        <w:t>ODS 7 · Energía asequible y no contaminante</w:t>
      </w:r>
    </w:p>
    <w:p>
      <w:pPr>
        <w:spacing w:line="360" w:lineRule="auto"/>
        <w:jc w:val="both"/>
      </w:pPr>
      <w:r>
        <w:rPr>
          <w:rFonts w:ascii="Arial" w:hAnsi="Arial"/>
          <w:sz w:val="24"/>
        </w:rPr>
        <w:t>La automatización puede facilitar el apagado o reducción de entornos fuera del horario de uso, evitando consumos innecesarios.</w:t>
      </w:r>
    </w:p>
    <w:p>
      <w:r>
        <w:rPr>
          <w:rFonts w:ascii="Arial" w:hAnsi="Arial"/>
          <w:b/>
          <w:sz w:val="24"/>
        </w:rPr>
        <w:t>Acciones concretas</w:t>
      </w:r>
    </w:p>
    <w:p>
      <w:pPr>
        <w:pStyle w:val="ListBullet"/>
        <w:spacing w:line="360" w:lineRule="auto"/>
      </w:pPr>
      <w:r>
        <w:rPr>
          <w:rFonts w:ascii="Arial" w:hAnsi="Arial"/>
          <w:sz w:val="24"/>
        </w:rPr>
        <w:t>Automatizar políticas de apagado o reducción de entornos no utilizados.</w:t>
      </w:r>
    </w:p>
    <w:p>
      <w:pPr>
        <w:pStyle w:val="ListBullet"/>
        <w:spacing w:line="360" w:lineRule="auto"/>
      </w:pPr>
      <w:r>
        <w:rPr>
          <w:rFonts w:ascii="Arial" w:hAnsi="Arial"/>
          <w:sz w:val="24"/>
        </w:rPr>
        <w:t>Medir las horas de infraestructura evitadas fuera del horario de actividad.</w:t>
      </w:r>
    </w:p>
    <w:p>
      <w:pPr>
        <w:pStyle w:val="ListBullet"/>
        <w:spacing w:line="360" w:lineRule="auto"/>
      </w:pPr>
      <w:r>
        <w:rPr>
          <w:rFonts w:ascii="Arial" w:hAnsi="Arial"/>
          <w:sz w:val="24"/>
        </w:rPr>
        <w:t>Estimar el consumo energético evitado mediante la reducción de recursos activos.</w:t>
      </w:r>
    </w:p>
    <w:p>
      <w:r>
        <w:rPr>
          <w:rFonts w:ascii="Arial" w:hAnsi="Arial"/>
          <w:b/>
          <w:sz w:val="24"/>
        </w:rPr>
        <w:t>Indicadores de medición</w:t>
      </w:r>
    </w:p>
    <w:p>
      <w:pPr>
        <w:pStyle w:val="ListBullet"/>
        <w:spacing w:line="360" w:lineRule="auto"/>
      </w:pPr>
      <w:r>
        <w:rPr>
          <w:rFonts w:ascii="Arial" w:hAnsi="Arial"/>
          <w:sz w:val="24"/>
        </w:rPr>
        <w:t>Horas de infraestructura inactiva evitadas.</w:t>
      </w:r>
    </w:p>
    <w:p>
      <w:pPr>
        <w:pStyle w:val="ListBullet"/>
        <w:spacing w:line="360" w:lineRule="auto"/>
      </w:pPr>
      <w:r>
        <w:rPr>
          <w:rFonts w:ascii="Arial" w:hAnsi="Arial"/>
          <w:sz w:val="24"/>
        </w:rPr>
        <w:t>% de entornos con políticas de apagado/reducción.</w:t>
      </w:r>
    </w:p>
    <w:p>
      <w:pPr>
        <w:pStyle w:val="ListBullet"/>
        <w:spacing w:line="360" w:lineRule="auto"/>
      </w:pPr>
      <w:r>
        <w:rPr>
          <w:rFonts w:ascii="Arial" w:hAnsi="Arial"/>
          <w:sz w:val="24"/>
        </w:rPr>
        <w:t>Estimación de kWh evitados.</w:t>
      </w:r>
    </w:p>
    <w:p>
      <w:pPr>
        <w:pStyle w:val="Heading3"/>
      </w:pPr>
      <w:r>
        <w:rPr>
          <w:rFonts w:ascii="Arial" w:hAnsi="Arial"/>
          <w:b/>
          <w:color w:val="0F172A"/>
          <w:sz w:val="30"/>
        </w:rPr>
        <w:t>ODS 9 · Industria, innovación e infraestructura</w:t>
      </w:r>
    </w:p>
    <w:p>
      <w:pPr>
        <w:spacing w:line="360" w:lineRule="auto"/>
        <w:jc w:val="both"/>
      </w:pPr>
      <w:r>
        <w:rPr>
          <w:rFonts w:ascii="Arial" w:hAnsi="Arial"/>
          <w:sz w:val="24"/>
        </w:rPr>
        <w:t>AutoFlow utiliza automatización e Infrastructure as Code para modernizar la gestión de infraestructuras digitales y hacerla más reproducible.</w:t>
      </w:r>
    </w:p>
    <w:p>
      <w:r>
        <w:rPr>
          <w:rFonts w:ascii="Arial" w:hAnsi="Arial"/>
          <w:b/>
          <w:sz w:val="24"/>
        </w:rPr>
        <w:t>Acciones concretas</w:t>
      </w:r>
    </w:p>
    <w:p>
      <w:pPr>
        <w:pStyle w:val="ListBullet"/>
        <w:spacing w:line="360" w:lineRule="auto"/>
      </w:pPr>
      <w:r>
        <w:rPr>
          <w:rFonts w:ascii="Arial" w:hAnsi="Arial"/>
          <w:sz w:val="24"/>
        </w:rPr>
        <w:t>Automatizar despliegues mediante Terraform.</w:t>
      </w:r>
    </w:p>
    <w:p>
      <w:pPr>
        <w:pStyle w:val="ListBullet"/>
        <w:spacing w:line="360" w:lineRule="auto"/>
      </w:pPr>
      <w:r>
        <w:rPr>
          <w:rFonts w:ascii="Arial" w:hAnsi="Arial"/>
          <w:sz w:val="24"/>
        </w:rPr>
        <w:t>Automatizar configuraciones mediante Ansible.</w:t>
      </w:r>
    </w:p>
    <w:p>
      <w:pPr>
        <w:pStyle w:val="ListBullet"/>
        <w:spacing w:line="360" w:lineRule="auto"/>
      </w:pPr>
      <w:r>
        <w:rPr>
          <w:rFonts w:ascii="Arial" w:hAnsi="Arial"/>
          <w:sz w:val="24"/>
        </w:rPr>
        <w:t>Estandarizar entornos para que puedan reproducirse con las mismas definiciones.</w:t>
      </w:r>
    </w:p>
    <w:p>
      <w:r>
        <w:rPr>
          <w:rFonts w:ascii="Arial" w:hAnsi="Arial"/>
          <w:b/>
          <w:sz w:val="24"/>
        </w:rPr>
        <w:t>Indicadores de medición</w:t>
      </w:r>
    </w:p>
    <w:p>
      <w:pPr>
        <w:pStyle w:val="ListBullet"/>
        <w:spacing w:line="360" w:lineRule="auto"/>
      </w:pPr>
      <w:r>
        <w:rPr>
          <w:rFonts w:ascii="Arial" w:hAnsi="Arial"/>
          <w:sz w:val="24"/>
        </w:rPr>
        <w:t>% de despliegues automatizados.</w:t>
      </w:r>
    </w:p>
    <w:p>
      <w:pPr>
        <w:pStyle w:val="ListBullet"/>
        <w:spacing w:line="360" w:lineRule="auto"/>
      </w:pPr>
      <w:r>
        <w:rPr>
          <w:rFonts w:ascii="Arial" w:hAnsi="Arial"/>
          <w:sz w:val="24"/>
        </w:rPr>
        <w:t>Tiempo medio de aprovisionamiento.</w:t>
      </w:r>
    </w:p>
    <w:p>
      <w:pPr>
        <w:pStyle w:val="ListBullet"/>
        <w:spacing w:line="360" w:lineRule="auto"/>
      </w:pPr>
      <w:r>
        <w:rPr>
          <w:rFonts w:ascii="Arial" w:hAnsi="Arial"/>
          <w:sz w:val="24"/>
        </w:rPr>
        <w:t>Número de configuraciones reproducibles.</w:t>
      </w:r>
    </w:p>
    <w:p>
      <w:pPr>
        <w:pStyle w:val="Heading3"/>
      </w:pPr>
      <w:r>
        <w:rPr>
          <w:rFonts w:ascii="Arial" w:hAnsi="Arial"/>
          <w:b/>
          <w:color w:val="0F172A"/>
          <w:sz w:val="30"/>
        </w:rPr>
        <w:t>ODS 12 · Producción y consumo responsables</w:t>
      </w:r>
    </w:p>
    <w:p>
      <w:pPr>
        <w:spacing w:line="360" w:lineRule="auto"/>
        <w:jc w:val="both"/>
      </w:pPr>
      <w:r>
        <w:rPr>
          <w:rFonts w:ascii="Arial" w:hAnsi="Arial"/>
          <w:sz w:val="24"/>
        </w:rPr>
        <w:t>La gestión bajo demanda permite racionalizar recursos tecnológicos y evitar que existan entornos activos cuando no son necesarios.</w:t>
      </w:r>
    </w:p>
    <w:p>
      <w:r>
        <w:rPr>
          <w:rFonts w:ascii="Arial" w:hAnsi="Arial"/>
          <w:b/>
          <w:sz w:val="24"/>
        </w:rPr>
        <w:t>Acciones concretas</w:t>
      </w:r>
    </w:p>
    <w:p>
      <w:pPr>
        <w:pStyle w:val="ListBullet"/>
        <w:spacing w:line="360" w:lineRule="auto"/>
      </w:pPr>
      <w:r>
        <w:rPr>
          <w:rFonts w:ascii="Arial" w:hAnsi="Arial"/>
          <w:sz w:val="24"/>
        </w:rPr>
        <w:t>Crear y destruir entornos bajo demanda.</w:t>
      </w:r>
    </w:p>
    <w:p>
      <w:pPr>
        <w:pStyle w:val="ListBullet"/>
        <w:spacing w:line="360" w:lineRule="auto"/>
      </w:pPr>
      <w:r>
        <w:rPr>
          <w:rFonts w:ascii="Arial" w:hAnsi="Arial"/>
          <w:sz w:val="24"/>
        </w:rPr>
        <w:t>Detectar recursos infrautilizados.</w:t>
      </w:r>
    </w:p>
    <w:p>
      <w:pPr>
        <w:pStyle w:val="ListBullet"/>
        <w:spacing w:line="360" w:lineRule="auto"/>
      </w:pPr>
      <w:r>
        <w:rPr>
          <w:rFonts w:ascii="Arial" w:hAnsi="Arial"/>
          <w:sz w:val="24"/>
        </w:rPr>
        <w:t>Reducir recursos mantenidos de forma innecesaria.</w:t>
      </w:r>
    </w:p>
    <w:p>
      <w:r>
        <w:rPr>
          <w:rFonts w:ascii="Arial" w:hAnsi="Arial"/>
          <w:b/>
          <w:sz w:val="24"/>
        </w:rPr>
        <w:t>Indicadores de medición</w:t>
      </w:r>
    </w:p>
    <w:p>
      <w:pPr>
        <w:pStyle w:val="ListBullet"/>
        <w:spacing w:line="360" w:lineRule="auto"/>
      </w:pPr>
      <w:r>
        <w:rPr>
          <w:rFonts w:ascii="Arial" w:hAnsi="Arial"/>
          <w:sz w:val="24"/>
        </w:rPr>
        <w:t>% de recursos infrautilizados detectados.</w:t>
      </w:r>
    </w:p>
    <w:p>
      <w:pPr>
        <w:pStyle w:val="ListBullet"/>
        <w:spacing w:line="360" w:lineRule="auto"/>
      </w:pPr>
      <w:r>
        <w:rPr>
          <w:rFonts w:ascii="Arial" w:hAnsi="Arial"/>
          <w:sz w:val="24"/>
        </w:rPr>
        <w:t>Reducción estimada de recursos.</w:t>
      </w:r>
    </w:p>
    <w:p>
      <w:pPr>
        <w:pStyle w:val="ListBullet"/>
        <w:spacing w:line="360" w:lineRule="auto"/>
      </w:pPr>
      <w:r>
        <w:rPr>
          <w:rFonts w:ascii="Arial" w:hAnsi="Arial"/>
          <w:sz w:val="24"/>
        </w:rPr>
        <w:t>Número de entornos gestionados bajo demanda.</w:t>
      </w:r>
    </w:p>
    <w:p>
      <w:pPr>
        <w:pStyle w:val="Heading2"/>
      </w:pPr>
      <w:r>
        <w:rPr>
          <w:rFonts w:ascii="Arial" w:hAnsi="Arial"/>
          <w:b/>
          <w:color w:val="0F172A"/>
          <w:sz w:val="30"/>
        </w:rPr>
        <w:t>3.4 Logotipo</w:t>
      </w:r>
    </w:p>
    <w:p>
      <w:pPr>
        <w:spacing w:line="360" w:lineRule="auto"/>
        <w:jc w:val="both"/>
      </w:pPr>
      <w:r>
        <w:rPr>
          <w:rFonts w:ascii="Arial" w:hAnsi="Arial"/>
          <w:sz w:val="24"/>
        </w:rPr>
        <w:t>El logotipo de AutoFlow se construye a partir del nombre de la marca y de una representación gráfica asociada al concepto de flujo automatizado. La palabra “Auto” hace referencia a automatización y “Flow” al flujo continuo de procesos y despliegues.</w:t>
      </w:r>
    </w:p>
    <w:p>
      <w:pPr>
        <w:jc w:val="center"/>
      </w:pPr>
      <w:r>
        <w:drawing>
          <wp:inline xmlns:a="http://schemas.openxmlformats.org/drawingml/2006/main" xmlns:pic="http://schemas.openxmlformats.org/drawingml/2006/picture">
            <wp:extent cx="5669280" cy="1842516"/>
            <wp:docPr id="2" name="Picture 2"/>
            <wp:cNvGraphicFramePr>
              <a:graphicFrameLocks noChangeAspect="1"/>
            </wp:cNvGraphicFramePr>
            <a:graphic>
              <a:graphicData uri="http://schemas.openxmlformats.org/drawingml/2006/picture">
                <pic:pic>
                  <pic:nvPicPr>
                    <pic:cNvPr id="0" name="AutoFlow_logo_fondo_claro.png"/>
                    <pic:cNvPicPr/>
                  </pic:nvPicPr>
                  <pic:blipFill>
                    <a:blip r:embed="rId10"/>
                    <a:stretch>
                      <a:fillRect/>
                    </a:stretch>
                  </pic:blipFill>
                  <pic:spPr>
                    <a:xfrm>
                      <a:off x="0" y="0"/>
                      <a:ext cx="5669280" cy="1842516"/>
                    </a:xfrm>
                    <a:prstGeom prst="rect"/>
                  </pic:spPr>
                </pic:pic>
              </a:graphicData>
            </a:graphic>
          </wp:inline>
        </w:drawing>
      </w:r>
    </w:p>
    <w:p>
      <w:pPr>
        <w:pStyle w:val="Heading3"/>
      </w:pPr>
      <w:r>
        <w:rPr>
          <w:rFonts w:ascii="Arial" w:hAnsi="Arial"/>
          <w:b/>
          <w:color w:val="0F172A"/>
          <w:sz w:val="30"/>
        </w:rPr>
        <w:t>Significado y justificación</w:t>
      </w:r>
    </w:p>
    <w:p>
      <w:pPr>
        <w:pStyle w:val="ListBullet"/>
        <w:spacing w:line="360" w:lineRule="auto"/>
      </w:pPr>
      <w:r>
        <w:rPr>
          <w:rFonts w:ascii="Arial" w:hAnsi="Arial"/>
          <w:sz w:val="24"/>
        </w:rPr>
        <w:t>El símbolo está formado por nodos conectados que representan componentes de una infraestructura tecnológica.</w:t>
      </w:r>
    </w:p>
    <w:p>
      <w:pPr>
        <w:pStyle w:val="ListBullet"/>
        <w:spacing w:line="360" w:lineRule="auto"/>
      </w:pPr>
      <w:r>
        <w:rPr>
          <w:rFonts w:ascii="Arial" w:hAnsi="Arial"/>
          <w:sz w:val="24"/>
        </w:rPr>
        <w:t>Las conexiones representan los flujos entre recursos y procesos automatizados.</w:t>
      </w:r>
    </w:p>
    <w:p>
      <w:pPr>
        <w:pStyle w:val="ListBullet"/>
        <w:spacing w:line="360" w:lineRule="auto"/>
      </w:pPr>
      <w:r>
        <w:rPr>
          <w:rFonts w:ascii="Arial" w:hAnsi="Arial"/>
          <w:sz w:val="24"/>
        </w:rPr>
        <w:t>El sentido de avance del símbolo comunica despliegue, continuidad y movimiento.</w:t>
      </w:r>
    </w:p>
    <w:p>
      <w:pPr>
        <w:pStyle w:val="ListBullet"/>
        <w:spacing w:line="360" w:lineRule="auto"/>
      </w:pPr>
      <w:r>
        <w:rPr>
          <w:rFonts w:ascii="Arial" w:hAnsi="Arial"/>
          <w:sz w:val="24"/>
        </w:rPr>
        <w:t>El azul se asocia a tecnología, confianza y precisión.</w:t>
      </w:r>
    </w:p>
    <w:p>
      <w:pPr>
        <w:pStyle w:val="ListBullet"/>
        <w:spacing w:line="360" w:lineRule="auto"/>
      </w:pPr>
      <w:r>
        <w:rPr>
          <w:rFonts w:ascii="Arial" w:hAnsi="Arial"/>
          <w:sz w:val="24"/>
        </w:rPr>
        <w:t>El verde funciona como acento visual relacionado con eficiencia y sostenibilidad.</w:t>
      </w:r>
    </w:p>
    <w:p>
      <w:pPr>
        <w:pStyle w:val="Heading2"/>
      </w:pPr>
      <w:r>
        <w:rPr>
          <w:rFonts w:ascii="Arial" w:hAnsi="Arial"/>
          <w:b/>
          <w:color w:val="0F172A"/>
          <w:sz w:val="30"/>
        </w:rPr>
        <w:t>3.5 Imagotipo</w:t>
      </w:r>
    </w:p>
    <w:p>
      <w:pPr>
        <w:spacing w:line="360" w:lineRule="auto"/>
        <w:jc w:val="both"/>
      </w:pPr>
      <w:r>
        <w:rPr>
          <w:rFonts w:ascii="Arial" w:hAnsi="Arial"/>
          <w:sz w:val="24"/>
        </w:rPr>
        <w:t>El imagotipo de AutoFlow está formado por el símbolo gráfico y el nombre de la marca. Ambos elementos funcionan conjuntamente como la identificación visual principal. El símbolo también puede utilizarse de forma independiente en aplicaciones donde exista suficiente reconocimiento de la marca.</w:t>
      </w:r>
    </w:p>
    <w:p>
      <w:pPr>
        <w:pStyle w:val="Heading3"/>
      </w:pPr>
      <w:r>
        <w:rPr>
          <w:rFonts w:ascii="Arial" w:hAnsi="Arial"/>
          <w:b/>
          <w:color w:val="0F172A"/>
          <w:sz w:val="30"/>
        </w:rPr>
        <w:t>Versión sobre fondo claro</w:t>
      </w:r>
    </w:p>
    <w:p>
      <w:pPr>
        <w:jc w:val="center"/>
      </w:pPr>
      <w:r>
        <w:drawing>
          <wp:inline xmlns:a="http://schemas.openxmlformats.org/drawingml/2006/main" xmlns:pic="http://schemas.openxmlformats.org/drawingml/2006/picture">
            <wp:extent cx="5669280" cy="1842516"/>
            <wp:docPr id="3" name="Picture 3"/>
            <wp:cNvGraphicFramePr>
              <a:graphicFrameLocks noChangeAspect="1"/>
            </wp:cNvGraphicFramePr>
            <a:graphic>
              <a:graphicData uri="http://schemas.openxmlformats.org/drawingml/2006/picture">
                <pic:pic>
                  <pic:nvPicPr>
                    <pic:cNvPr id="0" name="AutoFlow_logo_fondo_claro.png"/>
                    <pic:cNvPicPr/>
                  </pic:nvPicPr>
                  <pic:blipFill>
                    <a:blip r:embed="rId10"/>
                    <a:stretch>
                      <a:fillRect/>
                    </a:stretch>
                  </pic:blipFill>
                  <pic:spPr>
                    <a:xfrm>
                      <a:off x="0" y="0"/>
                      <a:ext cx="5669280" cy="1842516"/>
                    </a:xfrm>
                    <a:prstGeom prst="rect"/>
                  </pic:spPr>
                </pic:pic>
              </a:graphicData>
            </a:graphic>
          </wp:inline>
        </w:drawing>
      </w:r>
    </w:p>
    <w:p>
      <w:pPr>
        <w:pStyle w:val="Heading3"/>
      </w:pPr>
      <w:r>
        <w:rPr>
          <w:rFonts w:ascii="Arial" w:hAnsi="Arial"/>
          <w:b/>
          <w:color w:val="0F172A"/>
          <w:sz w:val="30"/>
        </w:rPr>
        <w:t>Versión sobre fondo oscuro</w:t>
      </w:r>
    </w:p>
    <w:p>
      <w:pPr>
        <w:jc w:val="center"/>
      </w:pPr>
      <w:r>
        <w:drawing>
          <wp:inline xmlns:a="http://schemas.openxmlformats.org/drawingml/2006/main" xmlns:pic="http://schemas.openxmlformats.org/drawingml/2006/picture">
            <wp:extent cx="5669280" cy="1842516"/>
            <wp:docPr id="4" name="Picture 4"/>
            <wp:cNvGraphicFramePr>
              <a:graphicFrameLocks noChangeAspect="1"/>
            </wp:cNvGraphicFramePr>
            <a:graphic>
              <a:graphicData uri="http://schemas.openxmlformats.org/drawingml/2006/picture">
                <pic:pic>
                  <pic:nvPicPr>
                    <pic:cNvPr id="0" name="AutoFlow_logo_fondo_oscuro.png"/>
                    <pic:cNvPicPr/>
                  </pic:nvPicPr>
                  <pic:blipFill>
                    <a:blip r:embed="rId11"/>
                    <a:stretch>
                      <a:fillRect/>
                    </a:stretch>
                  </pic:blipFill>
                  <pic:spPr>
                    <a:xfrm>
                      <a:off x="0" y="0"/>
                      <a:ext cx="5669280" cy="1842516"/>
                    </a:xfrm>
                    <a:prstGeom prst="rect"/>
                  </pic:spPr>
                </pic:pic>
              </a:graphicData>
            </a:graphic>
          </wp:inline>
        </w:drawing>
      </w:r>
    </w:p>
    <w:p>
      <w:pPr>
        <w:pStyle w:val="Heading3"/>
      </w:pPr>
      <w:r>
        <w:rPr>
          <w:rFonts w:ascii="Arial" w:hAnsi="Arial"/>
          <w:b/>
          <w:color w:val="0F172A"/>
          <w:sz w:val="30"/>
        </w:rPr>
        <w:t>Criterios de uso</w:t>
      </w:r>
    </w:p>
    <w:p>
      <w:pPr>
        <w:pStyle w:val="ListBullet"/>
        <w:spacing w:line="360" w:lineRule="auto"/>
      </w:pPr>
      <w:r>
        <w:rPr>
          <w:rFonts w:ascii="Arial" w:hAnsi="Arial"/>
          <w:sz w:val="24"/>
        </w:rPr>
        <w:t>Utilizar la versión clara sobre fondos blancos o muy claros.</w:t>
      </w:r>
    </w:p>
    <w:p>
      <w:pPr>
        <w:pStyle w:val="ListBullet"/>
        <w:spacing w:line="360" w:lineRule="auto"/>
      </w:pPr>
      <w:r>
        <w:rPr>
          <w:rFonts w:ascii="Arial" w:hAnsi="Arial"/>
          <w:sz w:val="24"/>
        </w:rPr>
        <w:t>Utilizar la versión oscura sobre fondos oscuros que permitan suficiente contraste.</w:t>
      </w:r>
    </w:p>
    <w:p>
      <w:pPr>
        <w:pStyle w:val="ListBullet"/>
        <w:spacing w:line="360" w:lineRule="auto"/>
      </w:pPr>
      <w:r>
        <w:rPr>
          <w:rFonts w:ascii="Arial" w:hAnsi="Arial"/>
          <w:sz w:val="24"/>
        </w:rPr>
        <w:t>Mantener las proporciones originales.</w:t>
      </w:r>
    </w:p>
    <w:p>
      <w:pPr>
        <w:pStyle w:val="ListBullet"/>
        <w:spacing w:line="360" w:lineRule="auto"/>
      </w:pPr>
      <w:r>
        <w:rPr>
          <w:rFonts w:ascii="Arial" w:hAnsi="Arial"/>
          <w:sz w:val="24"/>
        </w:rPr>
        <w:t>Conservar la legibilidad de todos los elementos.</w:t>
      </w:r>
    </w:p>
    <w:p>
      <w:pPr>
        <w:pStyle w:val="Heading2"/>
      </w:pPr>
      <w:r>
        <w:rPr>
          <w:rFonts w:ascii="Arial" w:hAnsi="Arial"/>
          <w:b/>
          <w:color w:val="0F172A"/>
          <w:sz w:val="30"/>
        </w:rPr>
        <w:t>3.6 Gama cromática corporativa</w:t>
      </w:r>
    </w:p>
    <w:p>
      <w:pPr>
        <w:spacing w:line="360" w:lineRule="auto"/>
        <w:jc w:val="both"/>
      </w:pPr>
      <w:r>
        <w:rPr>
          <w:rFonts w:ascii="Arial" w:hAnsi="Arial"/>
          <w:sz w:val="24"/>
        </w:rPr>
        <w:t>La gama cromática de AutoFlow se divide en color principal, secundario, de acento y neutros. La paleta busca representar una empresa tecnológica y relacionar la marca con eficiencia y sostenibilidad.</w:t>
      </w:r>
    </w:p>
    <w:tbl>
      <w:tblPr>
        <w:tblW w:type="auto" w:w="0"/>
        <w:tblLook w:firstColumn="1" w:firstRow="1" w:lastColumn="0" w:lastRow="0" w:noHBand="0" w:noVBand="1" w:val="04A0"/>
      </w:tblPr>
      <w:tblGrid>
        <w:gridCol w:w="1570"/>
        <w:gridCol w:w="1570"/>
        <w:gridCol w:w="1570"/>
        <w:gridCol w:w="1570"/>
        <w:gridCol w:w="1570"/>
        <w:gridCol w:w="1570"/>
      </w:tblGrid>
      <w:tr>
        <w:tc>
          <w:tcPr>
            <w:tcW w:type="dxa" w:w="1570"/>
            <w:vAlign w:val="center"/>
            <w:shd w:fill="0F172A"/>
          </w:tcPr>
          <w:p>
            <w:r/>
            <w:r>
              <w:rPr>
                <w:rFonts w:ascii="Arial" w:hAnsi="Arial"/>
                <w:b/>
                <w:color w:val="FFFFFF"/>
                <w:sz w:val="18"/>
              </w:rPr>
              <w:t>Tipo</w:t>
            </w:r>
          </w:p>
        </w:tc>
        <w:tc>
          <w:tcPr>
            <w:tcW w:type="dxa" w:w="1570"/>
            <w:vAlign w:val="center"/>
            <w:shd w:fill="0F172A"/>
          </w:tcPr>
          <w:p>
            <w:r/>
            <w:r>
              <w:rPr>
                <w:rFonts w:ascii="Arial" w:hAnsi="Arial"/>
                <w:b/>
                <w:color w:val="FFFFFF"/>
                <w:sz w:val="18"/>
              </w:rPr>
              <w:t>Nombre</w:t>
            </w:r>
          </w:p>
        </w:tc>
        <w:tc>
          <w:tcPr>
            <w:tcW w:type="dxa" w:w="1570"/>
            <w:vAlign w:val="center"/>
            <w:shd w:fill="0F172A"/>
          </w:tcPr>
          <w:p>
            <w:r/>
            <w:r>
              <w:rPr>
                <w:rFonts w:ascii="Arial" w:hAnsi="Arial"/>
                <w:b/>
                <w:color w:val="FFFFFF"/>
                <w:sz w:val="18"/>
              </w:rPr>
              <w:t>HEX</w:t>
            </w:r>
          </w:p>
        </w:tc>
        <w:tc>
          <w:tcPr>
            <w:tcW w:type="dxa" w:w="1570"/>
            <w:vAlign w:val="center"/>
            <w:shd w:fill="0F172A"/>
          </w:tcPr>
          <w:p>
            <w:r/>
            <w:r>
              <w:rPr>
                <w:rFonts w:ascii="Arial" w:hAnsi="Arial"/>
                <w:b/>
                <w:color w:val="FFFFFF"/>
                <w:sz w:val="18"/>
              </w:rPr>
              <w:t>RGB</w:t>
            </w:r>
          </w:p>
        </w:tc>
        <w:tc>
          <w:tcPr>
            <w:tcW w:type="dxa" w:w="1570"/>
            <w:vAlign w:val="center"/>
            <w:shd w:fill="0F172A"/>
          </w:tcPr>
          <w:p>
            <w:r/>
            <w:r>
              <w:rPr>
                <w:rFonts w:ascii="Arial" w:hAnsi="Arial"/>
                <w:b/>
                <w:color w:val="FFFFFF"/>
                <w:sz w:val="18"/>
              </w:rPr>
              <w:t>CMYK</w:t>
            </w:r>
          </w:p>
        </w:tc>
        <w:tc>
          <w:tcPr>
            <w:tcW w:type="dxa" w:w="1570"/>
            <w:vAlign w:val="center"/>
            <w:shd w:fill="0F172A"/>
          </w:tcPr>
          <w:p>
            <w:r/>
            <w:r>
              <w:rPr>
                <w:rFonts w:ascii="Arial" w:hAnsi="Arial"/>
                <w:b/>
                <w:color w:val="FFFFFF"/>
                <w:sz w:val="18"/>
              </w:rPr>
              <w:t>Uso</w:t>
            </w:r>
          </w:p>
        </w:tc>
      </w:tr>
      <w:tr>
        <w:tc>
          <w:tcPr>
            <w:tcW w:type="dxa" w:w="1570"/>
            <w:vAlign w:val="center"/>
          </w:tcPr>
          <w:p>
            <w:r/>
            <w:r>
              <w:rPr>
                <w:rFonts w:ascii="Arial" w:hAnsi="Arial"/>
                <w:b/>
                <w:color w:val="0F172A"/>
                <w:sz w:val="16"/>
              </w:rPr>
              <w:t>Principal</w:t>
            </w:r>
          </w:p>
        </w:tc>
        <w:tc>
          <w:tcPr>
            <w:tcW w:type="dxa" w:w="1570"/>
            <w:vAlign w:val="center"/>
            <w:shd w:fill="2563EB"/>
          </w:tcPr>
          <w:p>
            <w:r/>
            <w:r>
              <w:rPr>
                <w:rFonts w:ascii="Arial" w:hAnsi="Arial"/>
                <w:b/>
                <w:color w:val="0F172A"/>
                <w:sz w:val="16"/>
              </w:rPr>
              <w:t>Azul tecnológico</w:t>
            </w:r>
          </w:p>
        </w:tc>
        <w:tc>
          <w:tcPr>
            <w:tcW w:type="dxa" w:w="1570"/>
            <w:vAlign w:val="center"/>
          </w:tcPr>
          <w:p>
            <w:r/>
            <w:r>
              <w:rPr>
                <w:rFonts w:ascii="Arial" w:hAnsi="Arial"/>
                <w:b w:val="0"/>
                <w:color w:val="0F172A"/>
                <w:sz w:val="16"/>
              </w:rPr>
              <w:t>#2563EB</w:t>
            </w:r>
          </w:p>
        </w:tc>
        <w:tc>
          <w:tcPr>
            <w:tcW w:type="dxa" w:w="1570"/>
            <w:vAlign w:val="center"/>
          </w:tcPr>
          <w:p>
            <w:r/>
            <w:r>
              <w:rPr>
                <w:rFonts w:ascii="Arial" w:hAnsi="Arial"/>
                <w:b w:val="0"/>
                <w:color w:val="0F172A"/>
                <w:sz w:val="16"/>
              </w:rPr>
              <w:t>37, 99, 235</w:t>
            </w:r>
          </w:p>
        </w:tc>
        <w:tc>
          <w:tcPr>
            <w:tcW w:type="dxa" w:w="1570"/>
            <w:vAlign w:val="center"/>
          </w:tcPr>
          <w:p>
            <w:r/>
            <w:r>
              <w:rPr>
                <w:rFonts w:ascii="Arial" w:hAnsi="Arial"/>
                <w:b w:val="0"/>
                <w:color w:val="0F172A"/>
                <w:sz w:val="16"/>
              </w:rPr>
              <w:t>84, 58, 0, 8</w:t>
            </w:r>
          </w:p>
        </w:tc>
        <w:tc>
          <w:tcPr>
            <w:tcW w:type="dxa" w:w="1570"/>
            <w:vAlign w:val="center"/>
          </w:tcPr>
          <w:p>
            <w:r/>
            <w:r>
              <w:rPr>
                <w:rFonts w:ascii="Arial" w:hAnsi="Arial"/>
                <w:b w:val="0"/>
                <w:color w:val="0F172A"/>
                <w:sz w:val="16"/>
              </w:rPr>
              <w:t>Identidad principal, botones, enlaces y elementos destacados</w:t>
            </w:r>
          </w:p>
        </w:tc>
      </w:tr>
      <w:tr>
        <w:tc>
          <w:tcPr>
            <w:tcW w:type="dxa" w:w="1570"/>
            <w:vAlign w:val="center"/>
          </w:tcPr>
          <w:p>
            <w:r/>
            <w:r>
              <w:rPr>
                <w:rFonts w:ascii="Arial" w:hAnsi="Arial"/>
                <w:b/>
                <w:color w:val="0F172A"/>
                <w:sz w:val="16"/>
              </w:rPr>
              <w:t>Secundario</w:t>
            </w:r>
          </w:p>
        </w:tc>
        <w:tc>
          <w:tcPr>
            <w:tcW w:type="dxa" w:w="1570"/>
            <w:vAlign w:val="center"/>
            <w:shd w:fill="0F172A"/>
          </w:tcPr>
          <w:p>
            <w:r/>
            <w:r>
              <w:rPr>
                <w:rFonts w:ascii="Arial" w:hAnsi="Arial"/>
                <w:b/>
                <w:color w:val="0F172A"/>
                <w:sz w:val="16"/>
              </w:rPr>
              <w:t>Azul oscuro</w:t>
            </w:r>
          </w:p>
        </w:tc>
        <w:tc>
          <w:tcPr>
            <w:tcW w:type="dxa" w:w="1570"/>
            <w:vAlign w:val="center"/>
          </w:tcPr>
          <w:p>
            <w:r/>
            <w:r>
              <w:rPr>
                <w:rFonts w:ascii="Arial" w:hAnsi="Arial"/>
                <w:b w:val="0"/>
                <w:color w:val="0F172A"/>
                <w:sz w:val="16"/>
              </w:rPr>
              <w:t>#0F172A</w:t>
            </w:r>
          </w:p>
        </w:tc>
        <w:tc>
          <w:tcPr>
            <w:tcW w:type="dxa" w:w="1570"/>
            <w:vAlign w:val="center"/>
          </w:tcPr>
          <w:p>
            <w:r/>
            <w:r>
              <w:rPr>
                <w:rFonts w:ascii="Arial" w:hAnsi="Arial"/>
                <w:b w:val="0"/>
                <w:color w:val="0F172A"/>
                <w:sz w:val="16"/>
              </w:rPr>
              <w:t>15, 23, 42</w:t>
            </w:r>
          </w:p>
        </w:tc>
        <w:tc>
          <w:tcPr>
            <w:tcW w:type="dxa" w:w="1570"/>
            <w:vAlign w:val="center"/>
          </w:tcPr>
          <w:p>
            <w:r/>
            <w:r>
              <w:rPr>
                <w:rFonts w:ascii="Arial" w:hAnsi="Arial"/>
                <w:b w:val="0"/>
                <w:color w:val="0F172A"/>
                <w:sz w:val="16"/>
              </w:rPr>
              <w:t>64, 45, 0, 84</w:t>
            </w:r>
          </w:p>
        </w:tc>
        <w:tc>
          <w:tcPr>
            <w:tcW w:type="dxa" w:w="1570"/>
            <w:vAlign w:val="center"/>
          </w:tcPr>
          <w:p>
            <w:r/>
            <w:r>
              <w:rPr>
                <w:rFonts w:ascii="Arial" w:hAnsi="Arial"/>
                <w:b w:val="0"/>
                <w:color w:val="0F172A"/>
                <w:sz w:val="16"/>
              </w:rPr>
              <w:t>Títulos, fondos oscuros y elementos institucionales</w:t>
            </w:r>
          </w:p>
        </w:tc>
      </w:tr>
      <w:tr>
        <w:tc>
          <w:tcPr>
            <w:tcW w:type="dxa" w:w="1570"/>
            <w:vAlign w:val="center"/>
          </w:tcPr>
          <w:p>
            <w:r/>
            <w:r>
              <w:rPr>
                <w:rFonts w:ascii="Arial" w:hAnsi="Arial"/>
                <w:b/>
                <w:color w:val="0F172A"/>
                <w:sz w:val="16"/>
              </w:rPr>
              <w:t>Acento</w:t>
            </w:r>
          </w:p>
        </w:tc>
        <w:tc>
          <w:tcPr>
            <w:tcW w:type="dxa" w:w="1570"/>
            <w:vAlign w:val="center"/>
            <w:shd w:fill="22C55E"/>
          </w:tcPr>
          <w:p>
            <w:r/>
            <w:r>
              <w:rPr>
                <w:rFonts w:ascii="Arial" w:hAnsi="Arial"/>
                <w:b/>
                <w:color w:val="0F172A"/>
                <w:sz w:val="16"/>
              </w:rPr>
              <w:t>Verde eficiencia</w:t>
            </w:r>
          </w:p>
        </w:tc>
        <w:tc>
          <w:tcPr>
            <w:tcW w:type="dxa" w:w="1570"/>
            <w:vAlign w:val="center"/>
          </w:tcPr>
          <w:p>
            <w:r/>
            <w:r>
              <w:rPr>
                <w:rFonts w:ascii="Arial" w:hAnsi="Arial"/>
                <w:b w:val="0"/>
                <w:color w:val="0F172A"/>
                <w:sz w:val="16"/>
              </w:rPr>
              <w:t>#22C55E</w:t>
            </w:r>
          </w:p>
        </w:tc>
        <w:tc>
          <w:tcPr>
            <w:tcW w:type="dxa" w:w="1570"/>
            <w:vAlign w:val="center"/>
          </w:tcPr>
          <w:p>
            <w:r/>
            <w:r>
              <w:rPr>
                <w:rFonts w:ascii="Arial" w:hAnsi="Arial"/>
                <w:b w:val="0"/>
                <w:color w:val="0F172A"/>
                <w:sz w:val="16"/>
              </w:rPr>
              <w:t>34, 197, 94</w:t>
            </w:r>
          </w:p>
        </w:tc>
        <w:tc>
          <w:tcPr>
            <w:tcW w:type="dxa" w:w="1570"/>
            <w:vAlign w:val="center"/>
          </w:tcPr>
          <w:p>
            <w:r/>
            <w:r>
              <w:rPr>
                <w:rFonts w:ascii="Arial" w:hAnsi="Arial"/>
                <w:b w:val="0"/>
                <w:color w:val="0F172A"/>
                <w:sz w:val="16"/>
              </w:rPr>
              <w:t>83, 0, 52, 23</w:t>
            </w:r>
          </w:p>
        </w:tc>
        <w:tc>
          <w:tcPr>
            <w:tcW w:type="dxa" w:w="1570"/>
            <w:vAlign w:val="center"/>
          </w:tcPr>
          <w:p>
            <w:r/>
            <w:r>
              <w:rPr>
                <w:rFonts w:ascii="Arial" w:hAnsi="Arial"/>
                <w:b w:val="0"/>
                <w:color w:val="0F172A"/>
                <w:sz w:val="16"/>
              </w:rPr>
              <w:t>Destacados, indicadores positivos y sostenibilidad</w:t>
            </w:r>
          </w:p>
        </w:tc>
      </w:tr>
      <w:tr>
        <w:tc>
          <w:tcPr>
            <w:tcW w:type="dxa" w:w="1570"/>
            <w:vAlign w:val="center"/>
          </w:tcPr>
          <w:p>
            <w:r/>
            <w:r>
              <w:rPr>
                <w:rFonts w:ascii="Arial" w:hAnsi="Arial"/>
                <w:b/>
                <w:color w:val="0F172A"/>
                <w:sz w:val="16"/>
              </w:rPr>
              <w:t>Apoyo</w:t>
            </w:r>
          </w:p>
        </w:tc>
        <w:tc>
          <w:tcPr>
            <w:tcW w:type="dxa" w:w="1570"/>
            <w:vAlign w:val="center"/>
            <w:shd w:fill="06B6D4"/>
          </w:tcPr>
          <w:p>
            <w:r/>
            <w:r>
              <w:rPr>
                <w:rFonts w:ascii="Arial" w:hAnsi="Arial"/>
                <w:b/>
                <w:color w:val="0F172A"/>
                <w:sz w:val="16"/>
              </w:rPr>
              <w:t>Cian tecnológico</w:t>
            </w:r>
          </w:p>
        </w:tc>
        <w:tc>
          <w:tcPr>
            <w:tcW w:type="dxa" w:w="1570"/>
            <w:vAlign w:val="center"/>
          </w:tcPr>
          <w:p>
            <w:r/>
            <w:r>
              <w:rPr>
                <w:rFonts w:ascii="Arial" w:hAnsi="Arial"/>
                <w:b w:val="0"/>
                <w:color w:val="0F172A"/>
                <w:sz w:val="16"/>
              </w:rPr>
              <w:t>#06B6D4</w:t>
            </w:r>
          </w:p>
        </w:tc>
        <w:tc>
          <w:tcPr>
            <w:tcW w:type="dxa" w:w="1570"/>
            <w:vAlign w:val="center"/>
          </w:tcPr>
          <w:p>
            <w:r/>
            <w:r>
              <w:rPr>
                <w:rFonts w:ascii="Arial" w:hAnsi="Arial"/>
                <w:b w:val="0"/>
                <w:color w:val="0F172A"/>
                <w:sz w:val="16"/>
              </w:rPr>
              <w:t>6, 182, 212</w:t>
            </w:r>
          </w:p>
        </w:tc>
        <w:tc>
          <w:tcPr>
            <w:tcW w:type="dxa" w:w="1570"/>
            <w:vAlign w:val="center"/>
          </w:tcPr>
          <w:p>
            <w:r/>
            <w:r>
              <w:rPr>
                <w:rFonts w:ascii="Arial" w:hAnsi="Arial"/>
                <w:b w:val="0"/>
                <w:color w:val="0F172A"/>
                <w:sz w:val="16"/>
              </w:rPr>
              <w:t>97, 14, 0, 17</w:t>
            </w:r>
          </w:p>
        </w:tc>
        <w:tc>
          <w:tcPr>
            <w:tcW w:type="dxa" w:w="1570"/>
            <w:vAlign w:val="center"/>
          </w:tcPr>
          <w:p>
            <w:r/>
            <w:r>
              <w:rPr>
                <w:rFonts w:ascii="Arial" w:hAnsi="Arial"/>
                <w:b w:val="0"/>
                <w:color w:val="0F172A"/>
                <w:sz w:val="16"/>
              </w:rPr>
              <w:t>Detalles gráficos y elementos secundarios</w:t>
            </w:r>
          </w:p>
        </w:tc>
      </w:tr>
      <w:tr>
        <w:tc>
          <w:tcPr>
            <w:tcW w:type="dxa" w:w="1570"/>
            <w:vAlign w:val="center"/>
          </w:tcPr>
          <w:p>
            <w:r/>
            <w:r>
              <w:rPr>
                <w:rFonts w:ascii="Arial" w:hAnsi="Arial"/>
                <w:b/>
                <w:color w:val="0F172A"/>
                <w:sz w:val="16"/>
              </w:rPr>
              <w:t>Neutro</w:t>
            </w:r>
          </w:p>
        </w:tc>
        <w:tc>
          <w:tcPr>
            <w:tcW w:type="dxa" w:w="1570"/>
            <w:vAlign w:val="center"/>
            <w:shd w:fill="FFFFFF"/>
          </w:tcPr>
          <w:p>
            <w:r/>
            <w:r>
              <w:rPr>
                <w:rFonts w:ascii="Arial" w:hAnsi="Arial"/>
                <w:b/>
                <w:color w:val="0F172A"/>
                <w:sz w:val="16"/>
              </w:rPr>
              <w:t>Blanco</w:t>
            </w:r>
          </w:p>
        </w:tc>
        <w:tc>
          <w:tcPr>
            <w:tcW w:type="dxa" w:w="1570"/>
            <w:vAlign w:val="center"/>
          </w:tcPr>
          <w:p>
            <w:r/>
            <w:r>
              <w:rPr>
                <w:rFonts w:ascii="Arial" w:hAnsi="Arial"/>
                <w:b w:val="0"/>
                <w:color w:val="0F172A"/>
                <w:sz w:val="16"/>
              </w:rPr>
              <w:t>#FFFFFF</w:t>
            </w:r>
          </w:p>
        </w:tc>
        <w:tc>
          <w:tcPr>
            <w:tcW w:type="dxa" w:w="1570"/>
            <w:vAlign w:val="center"/>
          </w:tcPr>
          <w:p>
            <w:r/>
            <w:r>
              <w:rPr>
                <w:rFonts w:ascii="Arial" w:hAnsi="Arial"/>
                <w:b w:val="0"/>
                <w:color w:val="0F172A"/>
                <w:sz w:val="16"/>
              </w:rPr>
              <w:t>255, 255, 255</w:t>
            </w:r>
          </w:p>
        </w:tc>
        <w:tc>
          <w:tcPr>
            <w:tcW w:type="dxa" w:w="1570"/>
            <w:vAlign w:val="center"/>
          </w:tcPr>
          <w:p>
            <w:r/>
            <w:r>
              <w:rPr>
                <w:rFonts w:ascii="Arial" w:hAnsi="Arial"/>
                <w:b w:val="0"/>
                <w:color w:val="0F172A"/>
                <w:sz w:val="16"/>
              </w:rPr>
              <w:t>0, 0, 0, 0</w:t>
            </w:r>
          </w:p>
        </w:tc>
        <w:tc>
          <w:tcPr>
            <w:tcW w:type="dxa" w:w="1570"/>
            <w:vAlign w:val="center"/>
          </w:tcPr>
          <w:p>
            <w:r/>
            <w:r>
              <w:rPr>
                <w:rFonts w:ascii="Arial" w:hAnsi="Arial"/>
                <w:b w:val="0"/>
                <w:color w:val="0F172A"/>
                <w:sz w:val="16"/>
              </w:rPr>
              <w:t>Fondos y contraste</w:t>
            </w:r>
          </w:p>
        </w:tc>
      </w:tr>
      <w:tr>
        <w:tc>
          <w:tcPr>
            <w:tcW w:type="dxa" w:w="1570"/>
            <w:vAlign w:val="center"/>
          </w:tcPr>
          <w:p>
            <w:r/>
            <w:r>
              <w:rPr>
                <w:rFonts w:ascii="Arial" w:hAnsi="Arial"/>
                <w:b/>
                <w:color w:val="0F172A"/>
                <w:sz w:val="16"/>
              </w:rPr>
              <w:t>Neutro</w:t>
            </w:r>
          </w:p>
        </w:tc>
        <w:tc>
          <w:tcPr>
            <w:tcW w:type="dxa" w:w="1570"/>
            <w:vAlign w:val="center"/>
            <w:shd w:fill="F1F5F9"/>
          </w:tcPr>
          <w:p>
            <w:r/>
            <w:r>
              <w:rPr>
                <w:rFonts w:ascii="Arial" w:hAnsi="Arial"/>
                <w:b/>
                <w:color w:val="0F172A"/>
                <w:sz w:val="16"/>
              </w:rPr>
              <w:t>Gris claro</w:t>
            </w:r>
          </w:p>
        </w:tc>
        <w:tc>
          <w:tcPr>
            <w:tcW w:type="dxa" w:w="1570"/>
            <w:vAlign w:val="center"/>
          </w:tcPr>
          <w:p>
            <w:r/>
            <w:r>
              <w:rPr>
                <w:rFonts w:ascii="Arial" w:hAnsi="Arial"/>
                <w:b w:val="0"/>
                <w:color w:val="0F172A"/>
                <w:sz w:val="16"/>
              </w:rPr>
              <w:t>#F1F5F9</w:t>
            </w:r>
          </w:p>
        </w:tc>
        <w:tc>
          <w:tcPr>
            <w:tcW w:type="dxa" w:w="1570"/>
            <w:vAlign w:val="center"/>
          </w:tcPr>
          <w:p>
            <w:r/>
            <w:r>
              <w:rPr>
                <w:rFonts w:ascii="Arial" w:hAnsi="Arial"/>
                <w:b w:val="0"/>
                <w:color w:val="0F172A"/>
                <w:sz w:val="16"/>
              </w:rPr>
              <w:t>241, 245, 249</w:t>
            </w:r>
          </w:p>
        </w:tc>
        <w:tc>
          <w:tcPr>
            <w:tcW w:type="dxa" w:w="1570"/>
            <w:vAlign w:val="center"/>
          </w:tcPr>
          <w:p>
            <w:r/>
            <w:r>
              <w:rPr>
                <w:rFonts w:ascii="Arial" w:hAnsi="Arial"/>
                <w:b w:val="0"/>
                <w:color w:val="0F172A"/>
                <w:sz w:val="16"/>
              </w:rPr>
              <w:t>3, 2, 0, 2</w:t>
            </w:r>
          </w:p>
        </w:tc>
        <w:tc>
          <w:tcPr>
            <w:tcW w:type="dxa" w:w="1570"/>
            <w:vAlign w:val="center"/>
          </w:tcPr>
          <w:p>
            <w:r/>
            <w:r>
              <w:rPr>
                <w:rFonts w:ascii="Arial" w:hAnsi="Arial"/>
                <w:b w:val="0"/>
                <w:color w:val="0F172A"/>
                <w:sz w:val="16"/>
              </w:rPr>
              <w:t>Fondos de apoyo</w:t>
            </w:r>
          </w:p>
        </w:tc>
      </w:tr>
    </w:tbl>
    <w:p>
      <w:pPr>
        <w:spacing w:line="360" w:lineRule="auto"/>
        <w:jc w:val="both"/>
      </w:pPr>
      <w:r>
        <w:rPr>
          <w:rFonts w:ascii="Arial" w:hAnsi="Arial"/>
          <w:sz w:val="24"/>
        </w:rPr>
        <w:t>Nota: los valores CMYK son conversiones orientativas para una guía digital. En trabajos de impresión profesional se recomienda comprobar el resultado con el perfil de color y una prueba de impresión.</w:t>
      </w:r>
    </w:p>
    <w:p>
      <w:pPr>
        <w:pStyle w:val="Heading2"/>
      </w:pPr>
      <w:r>
        <w:rPr>
          <w:rFonts w:ascii="Arial" w:hAnsi="Arial"/>
          <w:b/>
          <w:color w:val="0F172A"/>
          <w:sz w:val="30"/>
        </w:rPr>
        <w:t>3.7 Tipografías corporativas</w:t>
      </w:r>
    </w:p>
    <w:p>
      <w:pPr>
        <w:pStyle w:val="Heading3"/>
      </w:pPr>
      <w:r>
        <w:rPr>
          <w:rFonts w:ascii="Arial" w:hAnsi="Arial"/>
          <w:b/>
          <w:color w:val="0F172A"/>
          <w:sz w:val="30"/>
        </w:rPr>
        <w:t>Tipografía principal · Arial</w:t>
      </w:r>
    </w:p>
    <w:p>
      <w:pPr>
        <w:spacing w:line="360" w:lineRule="auto"/>
        <w:jc w:val="both"/>
      </w:pPr>
      <w:r>
        <w:rPr>
          <w:rFonts w:ascii="Arial" w:hAnsi="Arial"/>
          <w:sz w:val="24"/>
        </w:rPr>
        <w:t>Arial se establece como tipografía principal para textos corporativos y documentación. Además, mantiene coherencia con las condiciones formales de la guía del Proyecto Intermodular, que establece Arial como fuente del documento.</w:t>
      </w:r>
    </w:p>
    <w:p>
      <w:pPr>
        <w:pStyle w:val="Heading3"/>
      </w:pPr>
      <w:r>
        <w:rPr>
          <w:rFonts w:ascii="Arial" w:hAnsi="Arial"/>
          <w:b/>
          <w:color w:val="0F172A"/>
          <w:sz w:val="30"/>
        </w:rPr>
        <w:t>Tipografía secundaria · Arial Bold</w:t>
      </w:r>
    </w:p>
    <w:p>
      <w:pPr>
        <w:spacing w:line="360" w:lineRule="auto"/>
        <w:jc w:val="both"/>
      </w:pPr>
      <w:r>
        <w:rPr>
          <w:rFonts w:ascii="Arial" w:hAnsi="Arial"/>
          <w:sz w:val="24"/>
        </w:rPr>
        <w:t>Arial Bold se utilizará en títulos, subtítulos, llamadas y elementos que necesiten mayor jerarquía visual.</w:t>
      </w:r>
    </w:p>
    <w:p>
      <w:pPr>
        <w:pStyle w:val="Heading3"/>
      </w:pPr>
      <w:r>
        <w:rPr>
          <w:rFonts w:ascii="Arial" w:hAnsi="Arial"/>
          <w:b/>
          <w:color w:val="0F172A"/>
          <w:sz w:val="30"/>
        </w:rPr>
        <w:t>Tipografía técnica · DejaVu Sans Mono</w:t>
      </w:r>
    </w:p>
    <w:p>
      <w:pPr>
        <w:spacing w:line="360" w:lineRule="auto"/>
        <w:jc w:val="both"/>
      </w:pPr>
      <w:r>
        <w:rPr>
          <w:rFonts w:ascii="Arial" w:hAnsi="Arial"/>
          <w:sz w:val="24"/>
        </w:rPr>
        <w:t>Se propone para fragmentos de código, comandos y ejemplos técnicos de Terraform y Ansible, ya que su carácter monoespaciado facilita diferenciar este tipo de contenido del texto general.</w:t>
      </w:r>
    </w:p>
    <w:p>
      <w:pPr>
        <w:pStyle w:val="Heading3"/>
      </w:pPr>
      <w:r>
        <w:rPr>
          <w:rFonts w:ascii="Arial" w:hAnsi="Arial"/>
          <w:b/>
          <w:color w:val="0F172A"/>
          <w:sz w:val="30"/>
        </w:rPr>
        <w:t>Usos autorizados</w:t>
      </w:r>
    </w:p>
    <w:p>
      <w:pPr>
        <w:pStyle w:val="ListBullet"/>
        <w:spacing w:line="360" w:lineRule="auto"/>
      </w:pPr>
      <w:r>
        <w:rPr>
          <w:rFonts w:ascii="Arial" w:hAnsi="Arial"/>
          <w:sz w:val="24"/>
        </w:rPr>
        <w:t>Texto general: Arial regular.</w:t>
      </w:r>
    </w:p>
    <w:p>
      <w:pPr>
        <w:pStyle w:val="ListBullet"/>
        <w:spacing w:line="360" w:lineRule="auto"/>
      </w:pPr>
      <w:r>
        <w:rPr>
          <w:rFonts w:ascii="Arial" w:hAnsi="Arial"/>
          <w:sz w:val="24"/>
        </w:rPr>
        <w:t>Títulos y encabezados: Arial Bold.</w:t>
      </w:r>
    </w:p>
    <w:p>
      <w:pPr>
        <w:pStyle w:val="ListBullet"/>
        <w:spacing w:line="360" w:lineRule="auto"/>
      </w:pPr>
      <w:r>
        <w:rPr>
          <w:rFonts w:ascii="Arial" w:hAnsi="Arial"/>
          <w:sz w:val="24"/>
        </w:rPr>
        <w:t>Código y comandos: DejaVu Sans Mono.</w:t>
      </w:r>
    </w:p>
    <w:p>
      <w:pPr>
        <w:pStyle w:val="ListBullet"/>
        <w:spacing w:line="360" w:lineRule="auto"/>
      </w:pPr>
      <w:r>
        <w:rPr>
          <w:rFonts w:ascii="Arial" w:hAnsi="Arial"/>
          <w:sz w:val="24"/>
        </w:rPr>
        <w:t>Evitar combinar tipografías sin una función concreta.</w:t>
      </w:r>
    </w:p>
    <w:p>
      <w:pPr>
        <w:pStyle w:val="ListBullet"/>
        <w:spacing w:line="360" w:lineRule="auto"/>
      </w:pPr>
      <w:r>
        <w:rPr>
          <w:rFonts w:ascii="Arial" w:hAnsi="Arial"/>
          <w:sz w:val="24"/>
        </w:rPr>
        <w:t>Mantener una jerarquía visual constante.</w:t>
      </w:r>
    </w:p>
    <w:p>
      <w:pPr>
        <w:pStyle w:val="Heading2"/>
      </w:pPr>
      <w:r>
        <w:rPr>
          <w:rFonts w:ascii="Arial" w:hAnsi="Arial"/>
          <w:b/>
          <w:color w:val="0F172A"/>
          <w:sz w:val="30"/>
        </w:rPr>
        <w:t>3.8 Usos autorizados e incorrectos</w:t>
      </w:r>
    </w:p>
    <w:p>
      <w:pPr>
        <w:pStyle w:val="Heading3"/>
      </w:pPr>
      <w:r>
        <w:rPr>
          <w:rFonts w:ascii="Arial" w:hAnsi="Arial"/>
          <w:b/>
          <w:color w:val="0F172A"/>
          <w:sz w:val="30"/>
        </w:rPr>
        <w:t>Usos autorizados</w:t>
      </w:r>
    </w:p>
    <w:p>
      <w:pPr>
        <w:pStyle w:val="ListBullet"/>
        <w:spacing w:line="360" w:lineRule="auto"/>
      </w:pPr>
      <w:r>
        <w:rPr>
          <w:rFonts w:ascii="Arial" w:hAnsi="Arial"/>
          <w:sz w:val="24"/>
        </w:rPr>
        <w:t>Utilizar el imagotipo en sus versiones oficiales de fondo claro u oscuro.</w:t>
      </w:r>
    </w:p>
    <w:p>
      <w:pPr>
        <w:pStyle w:val="ListBullet"/>
        <w:spacing w:line="360" w:lineRule="auto"/>
      </w:pPr>
      <w:r>
        <w:rPr>
          <w:rFonts w:ascii="Arial" w:hAnsi="Arial"/>
          <w:sz w:val="24"/>
        </w:rPr>
        <w:t>Respetar los colores corporativos establecidos.</w:t>
      </w:r>
    </w:p>
    <w:p>
      <w:pPr>
        <w:pStyle w:val="ListBullet"/>
        <w:spacing w:line="360" w:lineRule="auto"/>
      </w:pPr>
      <w:r>
        <w:rPr>
          <w:rFonts w:ascii="Arial" w:hAnsi="Arial"/>
          <w:sz w:val="24"/>
        </w:rPr>
        <w:t>Mantener las proporciones originales.</w:t>
      </w:r>
    </w:p>
    <w:p>
      <w:pPr>
        <w:pStyle w:val="ListBullet"/>
        <w:spacing w:line="360" w:lineRule="auto"/>
      </w:pPr>
      <w:r>
        <w:rPr>
          <w:rFonts w:ascii="Arial" w:hAnsi="Arial"/>
          <w:sz w:val="24"/>
        </w:rPr>
        <w:t>Conservar una zona de seguridad alrededor de la marca.</w:t>
      </w:r>
    </w:p>
    <w:p>
      <w:pPr>
        <w:pStyle w:val="ListBullet"/>
        <w:spacing w:line="360" w:lineRule="auto"/>
      </w:pPr>
      <w:r>
        <w:rPr>
          <w:rFonts w:ascii="Arial" w:hAnsi="Arial"/>
          <w:sz w:val="24"/>
        </w:rPr>
        <w:t>Utilizar el símbolo de forma independiente cuando el contexto permita identificar AutoFlow.</w:t>
      </w:r>
    </w:p>
    <w:p>
      <w:pPr>
        <w:pStyle w:val="ListBullet"/>
        <w:spacing w:line="360" w:lineRule="auto"/>
      </w:pPr>
      <w:r>
        <w:rPr>
          <w:rFonts w:ascii="Arial" w:hAnsi="Arial"/>
          <w:sz w:val="24"/>
        </w:rPr>
        <w:t>Priorizar siempre la legibilidad y el contraste.</w:t>
      </w:r>
    </w:p>
    <w:p>
      <w:pPr>
        <w:pStyle w:val="Heading3"/>
      </w:pPr>
      <w:r>
        <w:rPr>
          <w:rFonts w:ascii="Arial" w:hAnsi="Arial"/>
          <w:b/>
          <w:color w:val="0F172A"/>
          <w:sz w:val="30"/>
        </w:rPr>
        <w:t>Usos incorrectos</w:t>
      </w:r>
    </w:p>
    <w:p>
      <w:pPr>
        <w:pStyle w:val="ListBullet"/>
        <w:spacing w:line="360" w:lineRule="auto"/>
      </w:pPr>
      <w:r>
        <w:rPr>
          <w:rFonts w:ascii="Arial" w:hAnsi="Arial"/>
          <w:sz w:val="24"/>
        </w:rPr>
        <w:t>No deformar horizontal ni verticalmente el logotipo.</w:t>
      </w:r>
    </w:p>
    <w:p>
      <w:pPr>
        <w:pStyle w:val="ListBullet"/>
        <w:spacing w:line="360" w:lineRule="auto"/>
      </w:pPr>
      <w:r>
        <w:rPr>
          <w:rFonts w:ascii="Arial" w:hAnsi="Arial"/>
          <w:sz w:val="24"/>
        </w:rPr>
        <w:t>No cambiar arbitrariamente sus colores.</w:t>
      </w:r>
    </w:p>
    <w:p>
      <w:pPr>
        <w:pStyle w:val="ListBullet"/>
        <w:spacing w:line="360" w:lineRule="auto"/>
      </w:pPr>
      <w:r>
        <w:rPr>
          <w:rFonts w:ascii="Arial" w:hAnsi="Arial"/>
          <w:sz w:val="24"/>
        </w:rPr>
        <w:t>No girar el símbolo ni el conjunto de la marca.</w:t>
      </w:r>
    </w:p>
    <w:p>
      <w:pPr>
        <w:pStyle w:val="ListBullet"/>
        <w:spacing w:line="360" w:lineRule="auto"/>
      </w:pPr>
      <w:r>
        <w:rPr>
          <w:rFonts w:ascii="Arial" w:hAnsi="Arial"/>
          <w:sz w:val="24"/>
        </w:rPr>
        <w:t>No añadir sombras, biseles, contornos o efectos.</w:t>
      </w:r>
    </w:p>
    <w:p>
      <w:pPr>
        <w:pStyle w:val="ListBullet"/>
        <w:spacing w:line="360" w:lineRule="auto"/>
      </w:pPr>
      <w:r>
        <w:rPr>
          <w:rFonts w:ascii="Arial" w:hAnsi="Arial"/>
          <w:sz w:val="24"/>
        </w:rPr>
        <w:t>No colocar la marca sobre fondos que dificulten su lectura.</w:t>
      </w:r>
    </w:p>
    <w:p>
      <w:pPr>
        <w:pStyle w:val="ListBullet"/>
        <w:spacing w:line="360" w:lineRule="auto"/>
      </w:pPr>
      <w:r>
        <w:rPr>
          <w:rFonts w:ascii="Arial" w:hAnsi="Arial"/>
          <w:sz w:val="24"/>
        </w:rPr>
        <w:t>No sustituir la tipografía del nombre AutoFlow.</w:t>
      </w:r>
    </w:p>
    <w:p>
      <w:pPr>
        <w:pStyle w:val="ListBullet"/>
        <w:spacing w:line="360" w:lineRule="auto"/>
      </w:pPr>
      <w:r>
        <w:rPr>
          <w:rFonts w:ascii="Arial" w:hAnsi="Arial"/>
          <w:sz w:val="24"/>
        </w:rPr>
        <w:t>No separar o recolocar los elementos del imagotipo de forma que pierdan su composición.</w:t>
      </w:r>
    </w:p>
    <w:p>
      <w:pPr>
        <w:pStyle w:val="ListBullet"/>
        <w:spacing w:line="360" w:lineRule="auto"/>
      </w:pPr>
      <w:r>
        <w:rPr>
          <w:rFonts w:ascii="Arial" w:hAnsi="Arial"/>
          <w:sz w:val="24"/>
        </w:rPr>
        <w:t>No modificar el símbolo para crear versiones no autorizadas.</w:t>
      </w:r>
    </w:p>
    <w:p>
      <w:pPr>
        <w:pStyle w:val="Heading1"/>
      </w:pPr>
      <w:r>
        <w:rPr>
          <w:rFonts w:ascii="Arial" w:hAnsi="Arial"/>
          <w:b/>
          <w:color w:val="0F172A"/>
          <w:sz w:val="36"/>
        </w:rPr>
        <w:t>4. Formato de entrega</w:t>
      </w:r>
    </w:p>
    <w:p>
      <w:pPr>
        <w:spacing w:line="360" w:lineRule="auto"/>
        <w:jc w:val="both"/>
      </w:pPr>
      <w:r>
        <w:rPr>
          <w:rFonts w:ascii="Arial" w:hAnsi="Arial"/>
          <w:sz w:val="24"/>
        </w:rPr>
        <w:t>El presente manual se ha planteado con una apariencia profesional y una estructura coherente con los requisitos de la Tarea 7. Incluye portada, todos los apartados exigidos, elementos gráficos de identidad y normas básicas de uso.</w:t>
      </w:r>
    </w:p>
    <w:p>
      <w:pPr>
        <w:spacing w:line="360" w:lineRule="auto"/>
        <w:jc w:val="both"/>
      </w:pPr>
      <w:r>
        <w:rPr>
          <w:rFonts w:ascii="Arial" w:hAnsi="Arial"/>
          <w:sz w:val="24"/>
        </w:rPr>
        <w:t>La versión editable se entrega en formato DOCX para permitir modificaciones posteriores. También se incluye una versión exportada a PDF para la entrega final.</w:t>
      </w:r>
    </w:p>
    <w:p>
      <w:pPr>
        <w:spacing w:line="360" w:lineRule="auto"/>
        <w:jc w:val="both"/>
      </w:pPr>
      <w:r>
        <w:rPr>
          <w:rFonts w:ascii="Arial" w:hAnsi="Arial"/>
          <w:sz w:val="24"/>
        </w:rPr>
        <w:t>Como referencia del Proyecto Intermodular, la guía establece texto justificado, interlineado 1,5, fuente Arial de tamaño 12 y títulos en Arial de tamaño 16.</w:t>
      </w:r>
    </w:p>
    <w:p>
      <w:pPr>
        <w:pStyle w:val="Heading1"/>
      </w:pPr>
      <w:r>
        <w:rPr>
          <w:rFonts w:ascii="Arial" w:hAnsi="Arial"/>
          <w:b/>
          <w:color w:val="0F172A"/>
          <w:sz w:val="36"/>
        </w:rPr>
        <w:t>5. Checklist previo a la entrega</w:t>
      </w:r>
    </w:p>
    <w:tbl>
      <w:tblPr>
        <w:tblW w:type="auto" w:w="0"/>
        <w:tblLook w:firstColumn="1" w:firstRow="1" w:lastColumn="0" w:lastRow="0" w:noHBand="0" w:noVBand="1" w:val="04A0"/>
      </w:tblPr>
      <w:tblGrid>
        <w:gridCol w:w="3139"/>
        <w:gridCol w:w="3139"/>
        <w:gridCol w:w="3139"/>
      </w:tblGrid>
      <w:tr>
        <w:tc>
          <w:tcPr>
            <w:tcW w:type="dxa" w:w="3139"/>
            <w:vAlign w:val="center"/>
            <w:shd w:fill="0F172A"/>
          </w:tcPr>
          <w:p>
            <w:r/>
            <w:r>
              <w:rPr>
                <w:rFonts w:ascii="Arial" w:hAnsi="Arial"/>
                <w:b/>
                <w:color w:val="FFFFFF"/>
                <w:sz w:val="20"/>
              </w:rPr>
              <w:t>Requisito</w:t>
            </w:r>
          </w:p>
        </w:tc>
        <w:tc>
          <w:tcPr>
            <w:tcW w:type="dxa" w:w="3139"/>
            <w:vAlign w:val="center"/>
            <w:shd w:fill="0F172A"/>
          </w:tcPr>
          <w:p>
            <w:r/>
            <w:r>
              <w:rPr>
                <w:rFonts w:ascii="Arial" w:hAnsi="Arial"/>
                <w:b/>
                <w:color w:val="FFFFFF"/>
                <w:sz w:val="20"/>
              </w:rPr>
              <w:t>Estado</w:t>
            </w:r>
          </w:p>
        </w:tc>
        <w:tc>
          <w:tcPr>
            <w:tcW w:type="dxa" w:w="3139"/>
            <w:vAlign w:val="center"/>
            <w:shd w:fill="0F172A"/>
          </w:tcPr>
          <w:p>
            <w:r/>
            <w:r>
              <w:rPr>
                <w:rFonts w:ascii="Arial" w:hAnsi="Arial"/>
                <w:b/>
                <w:color w:val="FFFFFF"/>
                <w:sz w:val="20"/>
              </w:rPr>
              <w:t>Comprobación</w:t>
            </w:r>
          </w:p>
        </w:tc>
      </w:tr>
      <w:tr>
        <w:tc>
          <w:tcPr>
            <w:tcW w:type="dxa" w:w="3139"/>
            <w:vAlign w:val="center"/>
          </w:tcPr>
          <w:p>
            <w:r/>
            <w:r>
              <w:rPr>
                <w:rFonts w:ascii="Arial" w:hAnsi="Arial"/>
                <w:b/>
                <w:color w:val="0F172A"/>
                <w:sz w:val="18"/>
              </w:rPr>
              <w:t>Misión claramente definida</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Explica qué hace AutoFlow y qué necesidad pretende resolver.</w:t>
            </w:r>
          </w:p>
        </w:tc>
      </w:tr>
      <w:tr>
        <w:tc>
          <w:tcPr>
            <w:tcW w:type="dxa" w:w="3139"/>
            <w:vAlign w:val="center"/>
          </w:tcPr>
          <w:p>
            <w:r/>
            <w:r>
              <w:rPr>
                <w:rFonts w:ascii="Arial" w:hAnsi="Arial"/>
                <w:b/>
                <w:color w:val="0F172A"/>
                <w:sz w:val="18"/>
              </w:rPr>
              <w:t>Visión con objetivo futuro concreto</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Establece una aspiración de posicionamiento en automatización IT.</w:t>
            </w:r>
          </w:p>
        </w:tc>
      </w:tr>
      <w:tr>
        <w:tc>
          <w:tcPr>
            <w:tcW w:type="dxa" w:w="3139"/>
            <w:vAlign w:val="center"/>
          </w:tcPr>
          <w:p>
            <w:r/>
            <w:r>
              <w:rPr>
                <w:rFonts w:ascii="Arial" w:hAnsi="Arial"/>
                <w:b/>
                <w:color w:val="0F172A"/>
                <w:sz w:val="18"/>
              </w:rPr>
              <w:t>Valores explicados</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Incluye seis valores vinculados al sector TIC.</w:t>
            </w:r>
          </w:p>
        </w:tc>
      </w:tr>
      <w:tr>
        <w:tc>
          <w:tcPr>
            <w:tcW w:type="dxa" w:w="3139"/>
            <w:vAlign w:val="center"/>
          </w:tcPr>
          <w:p>
            <w:r/>
            <w:r>
              <w:rPr>
                <w:rFonts w:ascii="Arial" w:hAnsi="Arial"/>
                <w:b/>
                <w:color w:val="0F172A"/>
                <w:sz w:val="18"/>
              </w:rPr>
              <w:t>Al menos 3 ODS justificados</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Incluye ODS 7, ODS 9 y ODS 12, con acciones e indicadores.</w:t>
            </w:r>
          </w:p>
        </w:tc>
      </w:tr>
      <w:tr>
        <w:tc>
          <w:tcPr>
            <w:tcW w:type="dxa" w:w="3139"/>
            <w:vAlign w:val="center"/>
          </w:tcPr>
          <w:p>
            <w:r/>
            <w:r>
              <w:rPr>
                <w:rFonts w:ascii="Arial" w:hAnsi="Arial"/>
                <w:b/>
                <w:color w:val="0F172A"/>
                <w:sz w:val="18"/>
              </w:rPr>
              <w:t>Logotipo e imagotipo creados</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Incluye versiones sobre fondo claro y oscuro.</w:t>
            </w:r>
          </w:p>
        </w:tc>
      </w:tr>
      <w:tr>
        <w:tc>
          <w:tcPr>
            <w:tcW w:type="dxa" w:w="3139"/>
            <w:vAlign w:val="center"/>
          </w:tcPr>
          <w:p>
            <w:r/>
            <w:r>
              <w:rPr>
                <w:rFonts w:ascii="Arial" w:hAnsi="Arial"/>
                <w:b/>
                <w:color w:val="0F172A"/>
                <w:sz w:val="18"/>
              </w:rPr>
              <w:t>Paleta cromática completa</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Incluye colores principales, secundarios, de acento y neutros con HEX, RGB y CMYK.</w:t>
            </w:r>
          </w:p>
        </w:tc>
      </w:tr>
      <w:tr>
        <w:tc>
          <w:tcPr>
            <w:tcW w:type="dxa" w:w="3139"/>
            <w:vAlign w:val="center"/>
          </w:tcPr>
          <w:p>
            <w:r/>
            <w:r>
              <w:rPr>
                <w:rFonts w:ascii="Arial" w:hAnsi="Arial"/>
                <w:b/>
                <w:color w:val="0F172A"/>
                <w:sz w:val="18"/>
              </w:rPr>
              <w:t>Tipografías justificadas</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Define tipografía principal, secundaria y técnica.</w:t>
            </w:r>
          </w:p>
        </w:tc>
      </w:tr>
      <w:tr>
        <w:tc>
          <w:tcPr>
            <w:tcW w:type="dxa" w:w="3139"/>
            <w:vAlign w:val="center"/>
          </w:tcPr>
          <w:p>
            <w:r/>
            <w:r>
              <w:rPr>
                <w:rFonts w:ascii="Arial" w:hAnsi="Arial"/>
                <w:b/>
                <w:color w:val="0F172A"/>
                <w:sz w:val="18"/>
              </w:rPr>
              <w:t>Usos correctos e incorrectos descritos</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Establece normas básicas de utilización.</w:t>
            </w:r>
          </w:p>
        </w:tc>
      </w:tr>
      <w:tr>
        <w:tc>
          <w:tcPr>
            <w:tcW w:type="dxa" w:w="3139"/>
            <w:vAlign w:val="center"/>
          </w:tcPr>
          <w:p>
            <w:r/>
            <w:r>
              <w:rPr>
                <w:rFonts w:ascii="Arial" w:hAnsi="Arial"/>
                <w:b/>
                <w:color w:val="0F172A"/>
                <w:sz w:val="18"/>
              </w:rPr>
              <w:t>Coherencia visual global</w:t>
            </w:r>
          </w:p>
        </w:tc>
        <w:tc>
          <w:tcPr>
            <w:tcW w:type="dxa" w:w="3139"/>
            <w:vAlign w:val="center"/>
          </w:tcPr>
          <w:p>
            <w:r/>
            <w:r>
              <w:rPr>
                <w:rFonts w:ascii="Arial" w:hAnsi="Arial"/>
                <w:b/>
                <w:color w:val="22C55E"/>
                <w:sz w:val="18"/>
              </w:rPr>
              <w:t>Sí</w:t>
            </w:r>
          </w:p>
        </w:tc>
        <w:tc>
          <w:tcPr>
            <w:tcW w:type="dxa" w:w="3139"/>
            <w:vAlign w:val="center"/>
          </w:tcPr>
          <w:p>
            <w:r/>
            <w:r>
              <w:rPr>
                <w:rFonts w:ascii="Arial" w:hAnsi="Arial"/>
                <w:b w:val="0"/>
                <w:color w:val="0F172A"/>
                <w:sz w:val="18"/>
              </w:rPr>
              <w:t>Relaciona automatización, tecnología, eficiencia y sostenibilidad.</w:t>
            </w:r>
          </w:p>
        </w:tc>
      </w:tr>
    </w:tbl>
    <w:p>
      <w:pPr>
        <w:pStyle w:val="Heading1"/>
      </w:pPr>
      <w:r>
        <w:rPr>
          <w:rFonts w:ascii="Arial" w:hAnsi="Arial"/>
          <w:b/>
          <w:color w:val="0F172A"/>
          <w:sz w:val="36"/>
        </w:rPr>
        <w:t>6. Reto final</w:t>
      </w:r>
    </w:p>
    <w:p>
      <w:pPr>
        <w:spacing w:line="360" w:lineRule="auto"/>
        <w:jc w:val="both"/>
      </w:pPr>
      <w:r>
        <w:rPr>
          <w:rFonts w:ascii="Arial" w:hAnsi="Arial"/>
          <w:sz w:val="24"/>
        </w:rPr>
        <w:t>El Manual Básico de Identidad Corporativa de AutoFlow permite responder rápidamente a las preguntas fundamentales de la identidad de la empresa.</w:t>
      </w:r>
    </w:p>
    <w:tbl>
      <w:tblPr>
        <w:tblW w:type="auto" w:w="0"/>
        <w:tblLook w:firstColumn="1" w:firstRow="1" w:lastColumn="0" w:lastRow="0" w:noHBand="0" w:noVBand="1" w:val="04A0"/>
      </w:tblPr>
      <w:tblGrid>
        <w:gridCol w:w="4709"/>
        <w:gridCol w:w="4709"/>
      </w:tblGrid>
      <w:tr>
        <w:tc>
          <w:tcPr>
            <w:tcW w:type="dxa" w:w="4709"/>
            <w:vAlign w:val="center"/>
            <w:shd w:fill="0F172A"/>
          </w:tcPr>
          <w:p>
            <w:r/>
            <w:r>
              <w:rPr>
                <w:rFonts w:ascii="Arial" w:hAnsi="Arial"/>
                <w:b/>
                <w:color w:val="FFFFFF"/>
                <w:sz w:val="22"/>
              </w:rPr>
              <w:t>Pregunta</w:t>
            </w:r>
          </w:p>
        </w:tc>
        <w:tc>
          <w:tcPr>
            <w:tcW w:type="dxa" w:w="4709"/>
            <w:vAlign w:val="center"/>
            <w:shd w:fill="0F172A"/>
          </w:tcPr>
          <w:p>
            <w:r/>
            <w:r>
              <w:rPr>
                <w:rFonts w:ascii="Arial" w:hAnsi="Arial"/>
                <w:b/>
                <w:color w:val="FFFFFF"/>
                <w:sz w:val="22"/>
              </w:rPr>
              <w:t>Respuesta</w:t>
            </w:r>
          </w:p>
        </w:tc>
      </w:tr>
      <w:tr>
        <w:tc>
          <w:tcPr>
            <w:tcW w:type="dxa" w:w="4709"/>
            <w:vAlign w:val="center"/>
          </w:tcPr>
          <w:p>
            <w:r/>
            <w:r>
              <w:rPr>
                <w:rFonts w:ascii="Arial" w:hAnsi="Arial"/>
                <w:b/>
                <w:color w:val="0F172A"/>
                <w:sz w:val="20"/>
              </w:rPr>
              <w:t>¿Quiénes somos?</w:t>
            </w:r>
          </w:p>
        </w:tc>
        <w:tc>
          <w:tcPr>
            <w:tcW w:type="dxa" w:w="4709"/>
            <w:vAlign w:val="center"/>
          </w:tcPr>
          <w:p>
            <w:r/>
            <w:r>
              <w:rPr>
                <w:rFonts w:ascii="Arial" w:hAnsi="Arial"/>
                <w:b w:val="0"/>
                <w:color w:val="0F172A"/>
                <w:sz w:val="20"/>
              </w:rPr>
              <w:t>AutoFlow es una propuesta tecnológica del sector TIC orientada a la automatización de infraestructura empresarial.</w:t>
            </w:r>
          </w:p>
        </w:tc>
      </w:tr>
      <w:tr>
        <w:tc>
          <w:tcPr>
            <w:tcW w:type="dxa" w:w="4709"/>
            <w:vAlign w:val="center"/>
          </w:tcPr>
          <w:p>
            <w:r/>
            <w:r>
              <w:rPr>
                <w:rFonts w:ascii="Arial" w:hAnsi="Arial"/>
                <w:b/>
                <w:color w:val="0F172A"/>
                <w:sz w:val="20"/>
              </w:rPr>
              <w:t>¿Qué hacemos?</w:t>
            </w:r>
          </w:p>
        </w:tc>
        <w:tc>
          <w:tcPr>
            <w:tcW w:type="dxa" w:w="4709"/>
            <w:vAlign w:val="center"/>
          </w:tcPr>
          <w:p>
            <w:r/>
            <w:r>
              <w:rPr>
                <w:rFonts w:ascii="Arial" w:hAnsi="Arial"/>
                <w:b w:val="0"/>
                <w:color w:val="0F172A"/>
                <w:sz w:val="20"/>
              </w:rPr>
              <w:t>Automatizamos el aprovisionamiento y la configuración de infraestructuras mediante Terraform y Ansible.</w:t>
            </w:r>
          </w:p>
        </w:tc>
      </w:tr>
      <w:tr>
        <w:tc>
          <w:tcPr>
            <w:tcW w:type="dxa" w:w="4709"/>
            <w:vAlign w:val="center"/>
          </w:tcPr>
          <w:p>
            <w:r/>
            <w:r>
              <w:rPr>
                <w:rFonts w:ascii="Arial" w:hAnsi="Arial"/>
                <w:b/>
                <w:color w:val="0F172A"/>
                <w:sz w:val="20"/>
              </w:rPr>
              <w:t>¿Qué valores defendemos?</w:t>
            </w:r>
          </w:p>
        </w:tc>
        <w:tc>
          <w:tcPr>
            <w:tcW w:type="dxa" w:w="4709"/>
            <w:vAlign w:val="center"/>
          </w:tcPr>
          <w:p>
            <w:r/>
            <w:r>
              <w:rPr>
                <w:rFonts w:ascii="Arial" w:hAnsi="Arial"/>
                <w:b w:val="0"/>
                <w:color w:val="0F172A"/>
                <w:sz w:val="20"/>
              </w:rPr>
              <w:t>Automatización, eficiencia, fiabilidad, seguridad, innovación y sostenibilidad.</w:t>
            </w:r>
          </w:p>
        </w:tc>
      </w:tr>
      <w:tr>
        <w:tc>
          <w:tcPr>
            <w:tcW w:type="dxa" w:w="4709"/>
            <w:vAlign w:val="center"/>
          </w:tcPr>
          <w:p>
            <w:r/>
            <w:r>
              <w:rPr>
                <w:rFonts w:ascii="Arial" w:hAnsi="Arial"/>
                <w:b/>
                <w:color w:val="0F172A"/>
                <w:sz w:val="20"/>
              </w:rPr>
              <w:t>¿Qué compromiso tenemos con la sociedad y el medio ambiente?</w:t>
            </w:r>
          </w:p>
        </w:tc>
        <w:tc>
          <w:tcPr>
            <w:tcW w:type="dxa" w:w="4709"/>
            <w:vAlign w:val="center"/>
          </w:tcPr>
          <w:p>
            <w:r/>
            <w:r>
              <w:rPr>
                <w:rFonts w:ascii="Arial" w:hAnsi="Arial"/>
                <w:b w:val="0"/>
                <w:color w:val="0F172A"/>
                <w:sz w:val="20"/>
              </w:rPr>
              <w:t>Promover infraestructuras digitales más eficientes y un uso racional de recursos, especialmente mediante la reducción de consumos innecesarios.</w:t>
            </w:r>
          </w:p>
        </w:tc>
      </w:tr>
      <w:tr>
        <w:tc>
          <w:tcPr>
            <w:tcW w:type="dxa" w:w="4709"/>
            <w:vAlign w:val="center"/>
          </w:tcPr>
          <w:p>
            <w:r/>
            <w:r>
              <w:rPr>
                <w:rFonts w:ascii="Arial" w:hAnsi="Arial"/>
                <w:b/>
                <w:color w:val="0F172A"/>
                <w:sz w:val="20"/>
              </w:rPr>
              <w:t>¿Cómo se identifica visualmente nuestra empresa?</w:t>
            </w:r>
          </w:p>
        </w:tc>
        <w:tc>
          <w:tcPr>
            <w:tcW w:type="dxa" w:w="4709"/>
            <w:vAlign w:val="center"/>
          </w:tcPr>
          <w:p>
            <w:r/>
            <w:r>
              <w:rPr>
                <w:rFonts w:ascii="Arial" w:hAnsi="Arial"/>
                <w:b w:val="0"/>
                <w:color w:val="0F172A"/>
                <w:sz w:val="20"/>
              </w:rPr>
              <w:t>Mediante el nombre AutoFlow, un símbolo de nodos y flujos, y una paleta basada en azul, cian, verde y neutros.</w:t>
            </w:r>
          </w:p>
        </w:tc>
      </w:tr>
      <w:tr>
        <w:tc>
          <w:tcPr>
            <w:tcW w:type="dxa" w:w="4709"/>
            <w:vAlign w:val="center"/>
          </w:tcPr>
          <w:p>
            <w:r/>
            <w:r>
              <w:rPr>
                <w:rFonts w:ascii="Arial" w:hAnsi="Arial"/>
                <w:b/>
                <w:color w:val="0F172A"/>
                <w:sz w:val="20"/>
              </w:rPr>
              <w:t>¿Cómo debe utilizarse nuestra marca?</w:t>
            </w:r>
          </w:p>
        </w:tc>
        <w:tc>
          <w:tcPr>
            <w:tcW w:type="dxa" w:w="4709"/>
            <w:vAlign w:val="center"/>
          </w:tcPr>
          <w:p>
            <w:r/>
            <w:r>
              <w:rPr>
                <w:rFonts w:ascii="Arial" w:hAnsi="Arial"/>
                <w:b w:val="0"/>
                <w:color w:val="0F172A"/>
                <w:sz w:val="20"/>
              </w:rPr>
              <w:t>Respetando las versiones, colores, proporciones, tipografías y normas de uso definidas en este manual.</w:t>
            </w:r>
          </w:p>
        </w:tc>
      </w:tr>
    </w:tbl>
    <w:p>
      <w:pPr>
        <w:pStyle w:val="Heading1"/>
      </w:pPr>
      <w:r>
        <w:rPr>
          <w:rFonts w:ascii="Arial" w:hAnsi="Arial"/>
          <w:b/>
          <w:color w:val="0F172A"/>
          <w:sz w:val="36"/>
        </w:rPr>
        <w:t>Conclusión</w:t>
      </w:r>
    </w:p>
    <w:p>
      <w:pPr>
        <w:spacing w:line="360" w:lineRule="auto"/>
        <w:jc w:val="both"/>
      </w:pPr>
      <w:r>
        <w:rPr>
          <w:rFonts w:ascii="Arial" w:hAnsi="Arial"/>
          <w:sz w:val="24"/>
        </w:rPr>
        <w:t>La identidad de AutoFlow se construye alrededor de una idea central: hacer que la infraestructura tecnológica sea más rápida, reproducible, eficiente y controlable. La identidad visual propuesta traduce esa idea en una marca tecnológica reconocible y coherente, mientras que la cultura corporativa y los ODS conectan la solución con las necesidades actuales de las empresas y con un uso más responsable de los recursos.</w:t>
      </w:r>
    </w:p>
    <w:p>
      <w:pPr>
        <w:spacing w:line="360" w:lineRule="auto"/>
        <w:jc w:val="both"/>
      </w:pPr>
      <w:r>
        <w:rPr>
          <w:rFonts w:ascii="Arial" w:hAnsi="Arial"/>
          <w:sz w:val="24"/>
        </w:rPr>
        <w:t>Este manual constituye una primera base de identidad corporativa y podrá ampliarse en el futuro con aplicaciones específicas para página web, redes sociales, documentación técnica, presentaciones, señalética, publicidad y otros soportes.</w:t>
      </w:r>
    </w:p>
    <w:sectPr w:rsidR="00FC693F" w:rsidRPr="0006063C" w:rsidSect="00034616">
      <w:footerReference w:type="default" r:id="rId9"/>
      <w:pgSz w:w="12240" w:h="15840"/>
      <w:pgMar w:top="1152" w:right="1411" w:bottom="1152"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AutoFlow · Manual Básico de Identidad Corporativa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