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Matriz de consistencia — dos escenarios</w:t>
      </w:r>
    </w:p>
    <w:p>
      <w:pPr>
        <w:spacing w:after="300"/>
        <w:jc w:val="center"/>
      </w:pPr>
      <w:r>
        <w:rPr>
          <w:i/>
          <w:iCs/>
          <w:sz w:val="24"/>
          <w:szCs w:val="24"/>
        </w:rPr>
        <w:t xml:space="preserve">Objetivos de ingeniería (desarrollar / implementar / entrenar) según la observación del asesor</w:t>
      </w:r>
    </w:p>
    <w:p>
      <w:pPr>
        <w:pStyle w:val="Heading1"/>
      </w:pPr>
      <w:r>
        <w:t xml:space="preserve">1. Principio aplicado (observación del asesor)</w:t>
      </w:r>
    </w:p>
    <w:p>
      <w:pPr>
        <w:spacing w:after="120"/>
        <w:jc w:val="both"/>
      </w:pPr>
      <w:r>
        <w:rPr>
          <w:sz w:val="22"/>
          <w:szCs w:val="22"/>
        </w:rPr>
        <w:t xml:space="preserve">Los objetivos específicos describen lo que el investigador construye (módulos del sistema), no el efecto esperado: el efecto pertenece a las hipótesis. Por eso en ambos escenarios los objetivos usan verbos de ingeniería (desarrollar, implementar, entrenar y evaluar, integrar) y las </w:t>
      </w:r>
      <w:r>
        <w:rPr>
          <w:b/>
          <w:bCs/>
          <w:sz w:val="22"/>
          <w:szCs w:val="22"/>
        </w:rPr>
        <w:t xml:space="preserve">hipótesis de efecto se mantienen idénticas a las actuales</w:t>
      </w:r>
      <w:r>
        <w:rPr>
          <w:sz w:val="22"/>
          <w:szCs w:val="22"/>
        </w:rPr>
        <w:t xml:space="preserve"> — son ellas las que se verifican con las pruebas t de Student y Wilcoxon ya calculadas. Además, el entrenamiento y la evaluación del modelo XGBoost quedan nombrados explícitamente en el O.E.3, con lo cual sus métricas (Accuracy 0.8833, AUC 0.9393) dejan de ser una sección huérfana del capítulo de resultados. El objetivo general se demuestra por composición: cumplidos los tres objetivos (módulos construidos) y confirmadas las tres hipótesis (p &lt; .001 en cada indicador), la eficacia queda determinada.</w:t>
      </w:r>
    </w:p>
    <w:p>
      <w:pPr>
        <w:pStyle w:val="Heading1"/>
      </w:pPr>
      <w:r>
        <w:t xml:space="preserve">2. Comparación de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Criterio</w:t>
            </w:r>
          </w:p>
        </w:tc>
        <w:tc>
          <w:tcPr>
            <w:tcW w:type="dxa" w:w="37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Escenario 1 — Sistema actual</w:t>
            </w:r>
          </w:p>
        </w:tc>
        <w:tc>
          <w:tcPr>
            <w:tcW w:type="dxa" w:w="37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Escenario 2 — Con módulos de intervención</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Qué describe</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Los componentes ya construidos y usados en la investigación ejecutada (colector, alertas por nivel de riesgo, XGBoost + recomendaciones).</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Los tres módulos específicos por indicador ya implementados en la sección Prevención (v2): control de intensidad, interrupción de rachas y autorregulación.</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Recolección de datos</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No requiere nada nuevo: usa el pretest/postest ya medido (mayo 2026).</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Requiere una NUEVA recolección pre/post con la versión 2 activa para que los módulos específicos sustenten la intervención.</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Resultados</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Intactos: t de Student (HPD), Wilcoxon (DCJ, ICOGS-A) y métricas del XGBoost pasan a ser resultado del O.E.3.</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Misma estructura estadística, pero con datos nuevos; además permite reportar exposición por módulo (alertas enviadas).</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Riesgo ante jurado</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Bajo: los módulos nombrados existen en el sistema actual; redacción genérica pero honesta.</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Bajo si hay nueva medición; alto si se usa con los datos antiguos (los módulos específicos no existían durante esa intervención).</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b/>
                <w:bCs/>
                <w:sz w:val="18"/>
                <w:szCs w:val="18"/>
              </w:rPr>
              <w:t xml:space="preserve">Cuándo usarlo</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Si se defiende con los resultados ya obtenidos (recomendado por tiempo).</w:t>
            </w:r>
          </w:p>
        </w:tc>
        <w:tc>
          <w:tcPr>
            <w:tcW w:type="dxa" w:w="373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Si el cronograma permite re-ejecutar la intervención con la v2 del sistema.</w:t>
            </w:r>
          </w:p>
        </w:tc>
      </w:tr>
    </w:tbl>
    <w:p>
      <w:pPr>
        <w:sectPr>
          <w:pgSz w:w="12240" w:h="15840" w:orient="portrait"/>
          <w:pgMar w:top="1440" w:right="1440" w:bottom="1440" w:left="1440" w:header="708" w:footer="708" w:gutter="0"/>
          <w:pgNumType/>
          <w:docGrid w:linePitch="360"/>
        </w:sectPr>
      </w:pPr>
    </w:p>
    <w:p>
      <w:pPr>
        <w:pStyle w:val="Heading1"/>
      </w:pPr>
      <w:r>
        <w:t xml:space="preserve">3. Escenario 1 — Matriz con el sistema actual (resultados ya obtenidos)</w:t>
      </w:r>
    </w:p>
    <w:p>
      <w:pPr>
        <w:spacing w:after="120"/>
        <w:jc w:val="both"/>
      </w:pPr>
      <w:r>
        <w:rPr>
          <w:sz w:val="22"/>
          <w:szCs w:val="22"/>
        </w:rPr>
        <w:t xml:space="preserve">Los módulos nombrados son los componentes existentes del sistema con el que se ejecutó la investigación: colector de la API, alertas por nivel de riesgo, modelo XGBoost y recomendaciones. No exige nueva recolección ni cambia ningún cálculo.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¿Cuál es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El sistema basado en Machine Learning contribuye significativamente a la prevención del uso excesivo de videojuegos en universitarios de Lima Norte, Perú 2025, mediante la detección predictiva y la generación de alertas tempranas.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¿De qué manera un módulo de recolección y monitoreo de datos del videojuego permite determinar la intensidad del uso de videojuegos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Desarrollar un módulo de recolección y monitoreo de datos desde la API del videojuego que permita determinar la intensidad del uso de videojuegos a través del indicador HPD.</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El sistema predictivo reduce significativamente la intensidad del uso de videojuegos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¿De qué manera un módulo de alertas tempranas permite controlar la continuidad del uso de videojuegos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Implementar un módulo de alertas tempranas que permita controlar la continuidad del uso de videojuegos a través del indicador DCJ.</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El sistema predictivo disminuye significativamente la continuidad del uso de videojuegos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¿De qué manera un modelo de clasificación integrado a recomendaciones permite fortalecer el control sobre el comportamiento de juego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Entrenar y evaluar un modelo de clasificación XGBoost, integrado a un módulo de recomendaciones, que permita fortalecer el control sobre el comportamiento de juego medido con el instrumento ICOGS-A.</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El sistema predictivo contribuye significativamente a la mejora del control sobre el comportamiento de juego (puntaje ICOGS-A)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4. Escenario 2 — Matriz con los módulos de intervención integrados (versión Prevención)</w:t>
      </w:r>
    </w:p>
    <w:p>
      <w:pPr>
        <w:spacing w:after="120"/>
        <w:jc w:val="both"/>
      </w:pPr>
      <w:r>
        <w:rPr>
          <w:sz w:val="22"/>
          <w:szCs w:val="22"/>
        </w:rPr>
        <w:t xml:space="preserve">Los módulos corresponden a la nueva sección Prevención del sistema: control de intensidad (meta personalizada sobre línea base −15%), interrupción de rachas (calendario de 14 días con umbral) y autorregulación (score XGBoost + pautas alineadas al ICOGS-A). Usar SOLO si se realiza una nueva medición pre/post con esta versión activa.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¿Cuál es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El sistema basado en Machine Learning contribuye significativamente a la prevención del uso excesivo de videojuegos en universitarios de Lima Norte, Perú 2025, mediante la detección predictiva y la generación de alertas tempranas.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¿De qué manera el módulo de control de intensidad, basado en monitoreo diario y metas personalizadas, permite reducir la intensidad del uso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Desarrollar el módulo de control de intensidad —recolección diaria automatizada y retroalimentación frente a una meta personalizada derivada de la línea base del usuario— para la reducción de las horas promedio de juego por día (HPD).</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El sistema predictivo reduce significativamente la intensidad del uso de videojuegos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¿De qué manera el módulo de interrupción de rachas, basado en el calendario de días consecutivos, permite disminuir la continuidad del uso de videojuegos?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Implementar el módulo de interrupción de rachas —detección de días consecutivos de juego con umbral de intervención y sugerencia de días de descanso— para la disminución de los días consecutivos de juego (DCJ).</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El sistema predictivo disminuye significativamente la continuidad del uso de videojuegos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¿De qué manera el módulo de autorregulación, basado en la clasificación predictiva y recomendaciones personalizadas, permite fortalecer el control sobre el comportamiento de juego?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Integrar el módulo de autorregulación —clasificación del riesgo con XGBoost y recomendaciones personalizadas alineadas a los criterios del ICOGS-A— para la mejora del control sobre el comportamiento de juego.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El sistema predictivo contribuye significativamente a la mejora del control sobre el comportamiento de juego (puntaje ICOGS-A)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5. Recomendación</w:t>
      </w:r>
    </w:p>
    <w:p>
      <w:pPr>
        <w:spacing w:after="120"/>
        <w:jc w:val="both"/>
      </w:pPr>
      <w:r>
        <w:rPr>
          <w:sz w:val="22"/>
          <w:szCs w:val="22"/>
        </w:rPr>
        <w:t xml:space="preserve">Para sustentar con los resultados ya obtenidos, usar el Escenario 1. El Escenario 2 queda listo como plan de mejora: la sección Prevención ya está implementada en el sistema (módulos visibles con datos reales del colector, calendario de rachas con fechas de actividad, metas personalizadas y pautas con seguimiento de cumplimiento), de modo que si el asesor aprueba una nueva recolección, la matriz 2 se adopta sin cambios adicionales. En ambos casos, unificar el año (2025/2026) en título, problemas, objetivos e hipótesis.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F4E79"/>
      <w:sz w:val="30"/>
      <w:szCs w:val="30"/>
    </w:rPr>
  </w:style>
  <w:style w:type="paragraph" w:styleId="Heading2">
    <w:name w:val="Heading 2"/>
    <w:basedOn w:val="Normal"/>
    <w:next w:val="Normal"/>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2026-06-12T04:31:30.563Z</dcterms:created>
  <dcterms:modified xsi:type="dcterms:W3CDTF">2026-06-12T04:31:30.564Z</dcterms:modified>
</cp:coreProperties>
</file>

<file path=docProps/custom.xml><?xml version="1.0" encoding="utf-8"?>
<Properties xmlns="http://schemas.openxmlformats.org/officeDocument/2006/custom-properties" xmlns:vt="http://schemas.openxmlformats.org/officeDocument/2006/docPropsVTypes"/>
</file>