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Objetivos específicos centrados en los módulos del sistema</w:t>
      </w:r>
    </w:p>
    <w:p>
      <w:pPr>
        <w:spacing w:after="300"/>
        <w:jc w:val="center"/>
      </w:pPr>
      <w:r>
        <w:rPr>
          <w:i/>
          <w:iCs/>
          <w:sz w:val="24"/>
          <w:szCs w:val="24"/>
        </w:rPr>
        <w:t xml:space="preserve">Matriz de consistencia final y justificación de cada objetivo frente al objetivo general</w:t>
      </w:r>
    </w:p>
    <w:p>
      <w:pPr>
        <w:pStyle w:val="Heading1"/>
      </w:pPr>
      <w:r>
        <w:t xml:space="preserve">1. Arquitectura del sistema: módulos reales y dimensión que ataca cada uno</w:t>
      </w:r>
    </w:p>
    <w:p>
      <w:pPr>
        <w:spacing w:after="120"/>
        <w:jc w:val="both"/>
      </w:pPr>
      <w:r>
        <w:rPr>
          <w:sz w:val="22"/>
          <w:szCs w:val="22"/>
        </w:rPr>
        <w:t xml:space="preserve">Los objetivos específicos se anclan en los componentes efectivamente construidos (backend Flask + modelo XGBoost + frontend React). Cada módulo de intervención está orientado a una dimensión de la variable dependiente, lo que permite que cada objetivo específico tenga un módulo como protagonista sin alterar cómo se midieron los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900"/>
        <w:gridCol w:w="190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Módulo del sistema</w:t>
            </w:r>
          </w:p>
        </w:tc>
        <w:tc>
          <w:tcPr>
            <w:tcW w:type="dxa" w:w="3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Función real implementada</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 que ataca</w:t>
            </w:r>
          </w:p>
        </w:tc>
        <w:tc>
          <w:tcPr>
            <w:tcW w:type="dxa" w:w="19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 / O.E.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Recolección de datos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Consume la API oficial de League of Legends y registra la actividad de juego de 14 días (THT, ND, partidas, fechas).</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Transversal: provee la medición objetiva de los tres indicadores</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Soporte de todos los O.E.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Monitoreo de indicadores (dashboard)</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Presenta al usuario sus métricas de uso (tarjetas HPD, THT, DCJ, NPPD; historial; distribución horaria).</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O.E.1</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Alertas tempranas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Genera avisos preventivos según el nivel de riesgo (banner, medidor Alto/Medio/Bajo) cuando el patrón de uso se intensifica o sostiene.</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O.E.2</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Clasificación predictiva (XGBoost)</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Clasifica el riesgo de uso excesivo (Accuracy 0.8833, AUC 0.9393) y produce el score que alimenta alertas y recomendaciones.</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ICOGS-A → O.E.3</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Recomendaciones personalizadas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Entrega pautas de autorregulación según el nivel de riesgo del usuario (página de Recomendaciones).</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ICOGS-A → O.E.3</w:t>
            </w:r>
          </w:p>
        </w:tc>
      </w:tr>
    </w:tbl>
    <w:p>
      <w:pPr>
        <w:spacing w:after="80"/>
        <w:jc w:val="both"/>
      </w:pPr>
      <w:r>
        <w:rPr>
          <w:sz w:val="22"/>
          <w:szCs w:val="22"/>
        </w:rPr>
        <w:t xml:space="preserve"/>
      </w:r>
    </w:p>
    <w:p>
      <w:pPr>
        <w:pStyle w:val="Heading1"/>
      </w:pPr>
      <w:r>
        <w:t xml:space="preserve">2. Objetivos propuestos</w:t>
      </w:r>
    </w:p>
    <w:p>
      <w:pPr>
        <w:spacing w:after="120"/>
        <w:jc w:val="both"/>
      </w:pPr>
      <w:r>
        <w:rPr>
          <w:b/>
          <w:bCs/>
          <w:sz w:val="22"/>
          <w:szCs w:val="22"/>
        </w:rPr>
        <w:t xml:space="preserve">O.G.: </w:t>
      </w:r>
      <w:r>
        <w:rPr>
          <w:sz w:val="22"/>
          <w:szCs w:val="22"/>
        </w:rPr>
        <w:t xml:space="preserve">Determinar la eficacia de un sistema predictivo basado en machine learning para la prevención del uso excesivo de videojuegos en universitarios de Lima Norte, Perú 2025.</w:t>
      </w:r>
    </w:p>
    <w:p>
      <w:pPr>
        <w:spacing w:after="120"/>
        <w:jc w:val="both"/>
      </w:pPr>
      <w:r>
        <w:rPr>
          <w:b/>
          <w:bCs/>
          <w:sz w:val="22"/>
          <w:szCs w:val="22"/>
        </w:rPr>
        <w:t xml:space="preserve">O.E.1: </w:t>
      </w:r>
      <w:r>
        <w:rPr>
          <w:sz w:val="22"/>
          <w:szCs w:val="22"/>
        </w:rPr>
        <w:t xml:space="preserve">Establecer la contribución del módulo de monitoreo de indicadores del sistema predictivo a la reducción de las horas promedio de juego por día (HPD), contrastando las mediciones del pretest y el postest.</w:t>
      </w:r>
    </w:p>
    <w:p>
      <w:pPr>
        <w:spacing w:after="120"/>
        <w:jc w:val="both"/>
      </w:pPr>
      <w:r>
        <w:rPr>
          <w:b/>
          <w:bCs/>
          <w:sz w:val="22"/>
          <w:szCs w:val="22"/>
        </w:rPr>
        <w:t xml:space="preserve">O.E.2: </w:t>
      </w:r>
      <w:r>
        <w:rPr>
          <w:sz w:val="22"/>
          <w:szCs w:val="22"/>
        </w:rPr>
        <w:t xml:space="preserve">Analizar en qué medida el módulo de alertas tempranas del sistema predictivo contribuye a la disminución de los días consecutivos de juego (DCJ), comparando los registros previos y posteriores a la intervención.</w:t>
      </w:r>
    </w:p>
    <w:p>
      <w:pPr>
        <w:spacing w:after="120"/>
        <w:jc w:val="both"/>
      </w:pPr>
      <w:r>
        <w:rPr>
          <w:b/>
          <w:bCs/>
          <w:sz w:val="22"/>
          <w:szCs w:val="22"/>
        </w:rPr>
        <w:t xml:space="preserve">O.E.3: </w:t>
      </w:r>
      <w:r>
        <w:rPr>
          <w:sz w:val="22"/>
          <w:szCs w:val="22"/>
        </w:rPr>
        <w:t xml:space="preserve">Examinar el aporte de los módulos de clasificación predictiva y recomendaciones personalizadas del sistema a la mejora del control sobre el comportamiento de juego, a partir de la variación del puntaje del instrumento ICOGS-A entre el pretest y el postest.</w:t>
      </w:r>
    </w:p>
    <w:p>
      <w:pPr>
        <w:spacing w:after="120"/>
        <w:jc w:val="both"/>
      </w:pPr>
      <w:r>
        <w:rPr>
          <w:i/>
          <w:iCs/>
          <w:sz w:val="22"/>
          <w:szCs w:val="22"/>
        </w:rPr>
        <w:t xml:space="preserve">Verbos y conectores distintos en cada uno (establecer la contribución / analizar en qué medida / examinar el aporte); “eficacia” aparece solo en el O.G.; el indicador y el momento de medición se nombran explícitamente, lo que conecta cada objetivo con su prueba estadística ya calculada.</w:t>
      </w:r>
    </w:p>
    <w:p>
      <w:pPr>
        <w:pStyle w:val="Heading1"/>
      </w:pPr>
      <w:r>
        <w:t xml:space="preserve">3. Cómo los tres específicos determinan el objetivo general</w:t>
      </w:r>
    </w:p>
    <w:p>
      <w:pPr>
        <w:spacing w:after="120"/>
        <w:jc w:val="both"/>
      </w:pPr>
      <w:r>
        <w:rPr>
          <w:sz w:val="22"/>
          <w:szCs w:val="22"/>
        </w:rPr>
        <w:t xml:space="preserve">La eficacia del sistema (O.G.) se determina por integración: el sistema es eficaz porque sus módulos de intervención logran, cada uno, el cambio esperado en la dimensión que atacan. El O.E.1 verifica que el monitoreo reduce la intensidad (HPD); el O.E.2, que las alertas interrumpen la continuidad (DCJ); el O.E.3, que la clasificación de riesgo y las recomendaciones fortalecen el control (ICOGS-A). Como esas tres dimensiones agotan la operacionalización de la variable dependiente (Anexo 1, criterios CIE-11 [29]), la regla de decisión es directa: el sistema se declara eficaz si y solo si las tres contribuciones resultan estadísticamente significativas en la dirección esperada (p &lt; .05), que es exactamente lo que muestra el capítulo de resultados.</w:t>
      </w:r>
    </w:p>
    <w:p>
      <w:pPr>
        <w:pStyle w:val="Heading1"/>
      </w:pPr>
      <w:r>
        <w:t xml:space="preserve">4. Justificación respaldada de cada objetivo específico</w:t>
      </w:r>
    </w:p>
    <w:p>
      <w:pPr>
        <w:pStyle w:val="Heading2"/>
      </w:pPr>
      <w:r>
        <w:t xml:space="preserve">4.1 O.E.1 — Monitoreo de indicadores → reducción de HPD</w:t>
      </w:r>
    </w:p>
    <w:p>
      <w:pPr>
        <w:spacing w:after="120"/>
        <w:jc w:val="both"/>
      </w:pPr>
      <w:r>
        <w:rPr>
          <w:sz w:val="22"/>
          <w:szCs w:val="22"/>
        </w:rPr>
        <w:t xml:space="preserve">La duración diaria de juego es el indicador con mayor capacidad para distinguir el uso recreativo del problemático (Brunborg et al. [32]; King et al. [47]) y la CIE-11 la recoge como manifestación central del deterioro del control [29]; en el propio modelo de la tesis, HPD es el predictor dominante (76.67 % de importancia). El automonitoreo es una técnica de autorregulación con eficacia documentada en intervenciones web para adicciones conductuales (Park et al. [34]): visibilizar al usuario sus horas de juego diarias (tarjetas HPD/THT del dashboard) es el mecanismo diseñado para reducir la dosis de exposición. Por ello, establecer la contribución de este módulo sobre HPD es la primera pieza del juicio de eficacia del O.G.</w:t>
      </w:r>
    </w:p>
    <w:p>
      <w:pPr>
        <w:pStyle w:val="Heading2"/>
      </w:pPr>
      <w:r>
        <w:t xml:space="preserve">4.2 O.E.2 — Alertas tempranas → disminución de DCJ</w:t>
      </w:r>
    </w:p>
    <w:p>
      <w:pPr>
        <w:spacing w:after="120"/>
        <w:jc w:val="both"/>
      </w:pPr>
      <w:r>
        <w:rPr>
          <w:sz w:val="22"/>
          <w:szCs w:val="22"/>
        </w:rPr>
        <w:t xml:space="preserve">La persistencia del juego (rachas ininterrumpidas de días) constituye una señal conductual independiente del deterioro del control, asociada al juego problemático (Marmet et al. [31]) y al criterio de continuidad de la CIE-11 [29]. Una intervención puede reducir horas por sesión sin romper la regularidad del hábito; por eso la dimensión continuidad se mide aparte. El módulo de alertas actúa justo sobre ese punto: avisa al usuario cuando su patrón se sostiene o intensifica, induciendo pausas. Analizar su contribución sobre DCJ verifica la segunda condición de la eficacia: que el sistema no solo atenúa el uso, sino que interrumpe el patrón sostenido.</w:t>
      </w:r>
    </w:p>
    <w:p>
      <w:pPr>
        <w:pStyle w:val="Heading2"/>
      </w:pPr>
      <w:r>
        <w:t xml:space="preserve">4.3 O.E.3 — Clasificación predictiva y recomendaciones → mejora del control (ICOGS-A)</w:t>
      </w:r>
    </w:p>
    <w:p>
      <w:pPr>
        <w:spacing w:after="120"/>
        <w:jc w:val="both"/>
      </w:pPr>
      <w:r>
        <w:rPr>
          <w:sz w:val="22"/>
          <w:szCs w:val="22"/>
        </w:rPr>
        <w:t xml:space="preserve">El impaired control es el criterio diagnóstico central del Gaming Disorder según la OMS [29], y el ICOGS fue desarrollado para cuantificarlo, con sensibilidad demostrada a intervenciones basadas en autorregulación (Kowalik, Delfabbro y King [44]). La clasificación de riesgo (XGBoost) traduce el comportamiento del usuario en una retroalimentación comprensible (nivel Alto/Medio/Bajo) y las recomendaciones convierten ese diagnóstico en pautas de acción personalizadas — el tipo de retroalimentación que la literatura de intervenciones web señala como eficaz para poblaciones que no buscan ayuda presencial (Park et al. [34]). Examinar su aporte sobre el puntaje ICOGS-A verifica la tercera condición de la eficacia: que el sistema actúa sobre el mecanismo regulatorio y no solo sobre el síntoma conductual.</w:t>
      </w:r>
    </w:p>
    <w:p>
      <w:pPr>
        <w:pStyle w:val="Heading1"/>
      </w:pPr>
      <w:r>
        <w:t xml:space="preserve">5. Nota para la defensa (importante)</w:t>
      </w:r>
    </w:p>
    <w:p>
      <w:pPr>
        <w:spacing w:after="120"/>
        <w:jc w:val="both"/>
      </w:pPr>
      <w:r>
        <w:rPr>
          <w:sz w:val="22"/>
          <w:szCs w:val="22"/>
        </w:rPr>
        <w:t xml:space="preserve">El diseño preexperimental midió el efecto del sistema completo (la intervención X), no el de cada módulo por separado. Por eso los objetivos usan el verbo “contribuir”: afirman que el módulo es el componente diseñado para esa dimensión y que el cambio medido se produjo, sin reclamar un efecto aislado por módulo (eso requeriría un diseño factorial). Si el jurado pregunta cómo se aisló el efecto de un módulo, la respuesta es: no se aisló ni el objetivo lo afirma; cada módulo es el canal del sistema orientado a su dimensión, y la contribución se evidencia en el cambio significativo del indicador correspondiente.</w:t>
      </w:r>
    </w:p>
    <w:p>
      <w:pPr>
        <w:sectPr>
          <w:pgSz w:w="12240" w:h="15840" w:orient="portrait"/>
          <w:pgMar w:top="1440" w:right="1440" w:bottom="1440" w:left="1440" w:header="708" w:footer="708" w:gutter="0"/>
          <w:pgNumType/>
          <w:docGrid w:linePitch="360"/>
        </w:sectPr>
      </w:pPr>
    </w:p>
    <w:p>
      <w:pPr>
        <w:pStyle w:val="Heading1"/>
      </w:pPr>
      <w:r>
        <w:t xml:space="preserve">6. Matriz de consistencia final</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1500"/>
        <w:gridCol w:w="1500"/>
        <w:gridCol w:w="1860"/>
      </w:tblGrid>
      <w:tr>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Problema</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Objetivo</w:t>
            </w:r>
          </w:p>
        </w:tc>
        <w:tc>
          <w:tcPr>
            <w:tcW w:type="dxa" w:w="27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Hipótesis</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Dimensión</w:t>
            </w:r>
          </w:p>
        </w:tc>
        <w:tc>
          <w:tcPr>
            <w:tcW w:type="dxa" w:w="1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Indicador</w:t>
            </w:r>
          </w:p>
        </w:tc>
        <w:tc>
          <w:tcPr>
            <w:tcW w:type="dxa" w:w="18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vAlign w:val="center"/>
          </w:tcPr>
          <w:p>
            <w:pPr>
              <w:spacing w:after="40"/>
              <w:jc w:val="left"/>
            </w:pPr>
            <w:r>
              <w:rPr>
                <w:b/>
                <w:bCs/>
                <w:sz w:val="18"/>
                <w:szCs w:val="18"/>
              </w:rPr>
              <w:t xml:space="preserve">Metodología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P.G.: ¿Cuál es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O.G.: Determinar la eficacia de un sistema predictivo basado en machine learning para la prevención del uso excesivo de videojuegos en universitarios de Lima Norte, Perú 2025.</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H.G.: El sistema predictivo basado en machine learning es eficaz para la prevención del uso excesivo de videojuegos en universitarios de Lima Norte, Perú 2025.</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VI: Sistema predictivo usando machine learning (no aplica dimensiones)</w:t>
            </w:r>
          </w:p>
          <w:p>
            <w:pPr>
              <w:spacing w:after="40"/>
              <w:jc w:val="left"/>
            </w:pPr>
            <w:r>
              <w:rPr>
                <w:sz w:val="18"/>
                <w:szCs w:val="18"/>
              </w:rPr>
              <w:t xml:space="preserve">VD: Prevención del uso excesivo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Tipo: Aplicada</w:t>
            </w:r>
          </w:p>
          <w:p>
            <w:pPr>
              <w:spacing w:after="40"/>
              <w:jc w:val="left"/>
            </w:pPr>
            <w:r>
              <w:rPr>
                <w:sz w:val="18"/>
                <w:szCs w:val="18"/>
              </w:rPr>
              <w:t xml:space="preserve">Enfoque: Cuantitativo</w:t>
            </w:r>
          </w:p>
          <w:p>
            <w:pPr>
              <w:spacing w:after="40"/>
              <w:jc w:val="left"/>
            </w:pPr>
            <w:r>
              <w:rPr>
                <w:sz w:val="18"/>
                <w:szCs w:val="18"/>
              </w:rPr>
              <w:t xml:space="preserve">Diseño: Preexperimental (O₁ → X → O₂)</w:t>
            </w:r>
          </w:p>
          <w:p>
            <w:pPr>
              <w:spacing w:after="40"/>
              <w:jc w:val="left"/>
            </w:pPr>
            <w:r>
              <w:rPr>
                <w:sz w:val="18"/>
                <w:szCs w:val="18"/>
              </w:rPr>
              <w:t xml:space="preserve">Nivel: Explicativo</w:t>
            </w:r>
          </w:p>
          <w:p>
            <w:pPr>
              <w:spacing w:after="40"/>
              <w:jc w:val="left"/>
            </w:pPr>
            <w:r>
              <w:rPr>
                <w:sz w:val="18"/>
                <w:szCs w:val="18"/>
              </w:rPr>
              <w:t xml:space="preserve">Población: 139,856 universitarios de Lima Norte</w:t>
            </w:r>
          </w:p>
          <w:p>
            <w:pPr>
              <w:spacing w:after="40"/>
              <w:jc w:val="left"/>
            </w:pPr>
            <w:r>
              <w:rPr>
                <w:sz w:val="18"/>
                <w:szCs w:val="18"/>
              </w:rPr>
              <w:t xml:space="preserve">Muestra: 300 (por conveniencia)</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P.E.1: ¿En qué medida el módulo de monitoreo de indicadores del sistema predictivo contribuye a la reducción de las horas promedio de juego por día (HPD)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O.E.1: Establecer la contribución del módulo de monitoreo de indicadores del sistema predictivo a la reducción de las horas promedio de juego por día (HPD), contrastando las mediciones del pretest y el postest.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H.E.1: El módulo de monitoreo de indicadores del sistema predictivo contribuye significativamente a la reducción de las horas promedio de juego por día (HPD)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Intensidad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HPD = THT / ND (horas promedio de juego por día)</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t de Student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P.E.2: ¿En qué medida el módulo de alertas tempranas del sistema predictivo contribuye a la disminución de los días consecutivos de juego (DCJ)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O.E.2: Analizar en qué medida el módulo de alertas tempranas del sistema predictivo contribuye a la disminución de los días consecutivos de juego (DCJ), comparando los registros previos y posteriores a la intervención.</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H.E.2: El módulo de alertas tempranas del sistema predictivo contribuye significativamente a la disminución de los días consecutivos de juego (DCJ) en los universitarios evaluados.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Continuidad del uso de videojuegos</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DCJ = (FF − FI) + 1 (días consecutivos de juego)</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Fichaje (API de League of Legends, 14 días)</w:t>
            </w:r>
          </w:p>
          <w:p>
            <w:pPr>
              <w:spacing w:after="40"/>
              <w:jc w:val="left"/>
            </w:pPr>
            <w:r>
              <w:rPr>
                <w:sz w:val="18"/>
                <w:szCs w:val="18"/>
              </w:rPr>
              <w:t xml:space="preserve">Instrumento: Ficha de registro digital</w:t>
            </w:r>
          </w:p>
          <w:p>
            <w:pPr>
              <w:spacing w:after="40"/>
              <w:jc w:val="left"/>
            </w:pPr>
            <w:r>
              <w:rPr>
                <w:sz w:val="18"/>
                <w:szCs w:val="18"/>
              </w:rPr>
              <w:t xml:space="preserve">Prueba: Wilcoxon (muestras relacionadas)</w:t>
            </w:r>
          </w:p>
        </w:tc>
      </w:tr>
      <w:tr>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P.E.3: ¿En qué medida los módulos de clasificación predictiva y recomendaciones personalizadas del sistema contribuyen a la mejora del control sobre el comportamiento de juego en los universitarios evaluados?</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O.E.3: Examinar el aporte de los módulos de clasificación predictiva y recomendaciones personalizadas del sistema a la mejora del control sobre el comportamiento de juego, a partir de la variación del puntaje del instrumento ICOGS-A entre el pretest y el postest.</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H.E.3: Los módulos de clasificación predictiva y recomendaciones personalizadas del sistema contribuyen significativamente a la mejora del control sobre el comportamiento de juego, evidenciada en la reducción del puntaje ICOGS-A.</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Control sobre el comportamiento de juego</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Puntaje ICOGS-A = Σ Pᵢ (12–60)</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spacing w:after="40"/>
              <w:jc w:val="left"/>
            </w:pPr>
            <w:r>
              <w:rPr>
                <w:sz w:val="18"/>
                <w:szCs w:val="18"/>
              </w:rPr>
              <w:t xml:space="preserve">Técnica: Encuesta</w:t>
            </w:r>
          </w:p>
          <w:p>
            <w:pPr>
              <w:spacing w:after="40"/>
              <w:jc w:val="left"/>
            </w:pPr>
            <w:r>
              <w:rPr>
                <w:sz w:val="18"/>
                <w:szCs w:val="18"/>
              </w:rPr>
              <w:t xml:space="preserve">Instrumento: Cuestionario ICOGS-A (12 ítems, 12–60)</w:t>
            </w:r>
          </w:p>
          <w:p>
            <w:pPr>
              <w:spacing w:after="40"/>
              <w:jc w:val="left"/>
            </w:pPr>
            <w:r>
              <w:rPr>
                <w:sz w:val="18"/>
                <w:szCs w:val="18"/>
              </w:rPr>
              <w:t xml:space="preserve">Prueba: Wilcoxon (muestras relacionadas)</w:t>
            </w:r>
          </w:p>
        </w:tc>
      </w:tr>
    </w:tbl>
    <w:p>
      <w:pPr>
        <w:sectPr>
          <w:pgSz w:w="15840" w:h="12240" w:orient="landscape"/>
          <w:pgMar w:top="1440" w:right="1440" w:bottom="1440" w:left="1440" w:header="708" w:footer="708" w:gutter="0"/>
          <w:pgNumType/>
          <w:docGrid w:linePitch="360"/>
        </w:sectPr>
      </w:pPr>
    </w:p>
    <w:p>
      <w:pPr>
        <w:pStyle w:val="Heading1"/>
      </w:pPr>
      <w:r>
        <w:t xml:space="preserve">7. Cambios en cascada (solo redacción, ningún cálculo)</w:t>
      </w:r>
    </w:p>
    <w:p>
      <w:pPr>
        <w:spacing w:after="120"/>
        <w:jc w:val="both"/>
      </w:pPr>
      <w:r>
        <w:rPr>
          <w:sz w:val="22"/>
          <w:szCs w:val="22"/>
        </w:rPr>
        <w:t xml:space="preserve">Resumen y abstract: reescribir la frase de objetivos. Introducción: problemas, objetivos e hipótesis específicos. Metodología: añadir un párrafo breve que describa los módulos del sistema (tabla de la sección 1) para que los objetivos tengan referente. Capítulo III: solo los subtítulos por objetivo; tablas, figuras y pruebas intactas. Discusión y conclusiones: primera oración de cada bloque. Anexos 1 y 2: reemplazar por esta matriz. Unificar el año (2025/2026) en todo el documento.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40"/>
      <w:outlineLvl w:val="0"/>
    </w:pPr>
    <w:rPr>
      <w:rFonts w:ascii="Arial" w:cs="Arial" w:eastAsia="Arial" w:hAnsi="Arial"/>
      <w:b/>
      <w:bCs/>
      <w:color w:val="1F4E79"/>
      <w:sz w:val="30"/>
      <w:szCs w:val="30"/>
    </w:rPr>
  </w:style>
  <w:style w:type="paragraph" w:styleId="Heading2">
    <w:name w:val="Heading 2"/>
    <w:basedOn w:val="Normal"/>
    <w:next w:val="Normal"/>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2026-06-12T02:25:10.370Z</dcterms:created>
  <dcterms:modified xsi:type="dcterms:W3CDTF">2026-06-12T02:25:10.371Z</dcterms:modified>
</cp:coreProperties>
</file>

<file path=docProps/custom.xml><?xml version="1.0" encoding="utf-8"?>
<Properties xmlns="http://schemas.openxmlformats.org/officeDocument/2006/custom-properties" xmlns:vt="http://schemas.openxmlformats.org/officeDocument/2006/docPropsVTypes"/>
</file>