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Objetivos específicos no redundantes y su justificación frente al objetivo general</w:t>
      </w:r>
    </w:p>
    <w:p>
      <w:pPr>
        <w:spacing w:after="300"/>
        <w:jc w:val="center"/>
      </w:pPr>
      <w:r>
        <w:rPr>
          <w:i/>
          <w:iCs/>
          <w:sz w:val="24"/>
          <w:szCs w:val="24"/>
        </w:rPr>
        <w:t xml:space="preserve">Propuesta final de matriz de consistencia — compatible con los resultados ya obtenidos</w:t>
      </w:r>
    </w:p>
    <w:p>
      <w:pPr>
        <w:pStyle w:val="Heading1"/>
      </w:pPr>
      <w:r>
        <w:t xml:space="preserve">1. Principio metodológico aplicado</w:t>
      </w:r>
    </w:p>
    <w:p>
      <w:pPr>
        <w:spacing w:after="120"/>
        <w:jc w:val="both"/>
      </w:pPr>
      <w:r>
        <w:rPr>
          <w:sz w:val="22"/>
          <w:szCs w:val="22"/>
        </w:rPr>
        <w:t xml:space="preserve">Un objetivo específico no debe repetir ni el verbo ni el término clave del objetivo general. Si el O.G. dice “determinar la eficacia”, escribir “evaluar la eficacia” o “determinar la influencia” en los específicos es redundante: se formula tres veces un juicio del mismo nivel y ninguno explica cómo se llega a él. La relación correcta es de </w:t>
      </w:r>
      <w:r>
        <w:rPr>
          <w:b/>
          <w:bCs/>
          <w:sz w:val="22"/>
          <w:szCs w:val="22"/>
        </w:rPr>
        <w:t xml:space="preserve">descomposición operativa</w:t>
      </w:r>
      <w:r>
        <w:rPr>
          <w:sz w:val="22"/>
          <w:szCs w:val="22"/>
        </w:rPr>
        <w:t xml:space="preserve">: los específicos describen las operaciones concretas y medibles que, ejecutadas en conjunto, permiten emitir el juicio del general. Por eso aquí “eficacia” aparece una sola vez en toda la matriz (en el O.G.), y cada específico usa un verbo operativo distinto que corresponde exactamente a la operación estadística realizada en el capítulo de resultados: contrastar (t de Student), comparar (Wilcoxon) y analizar (Wilcoxon más análisis por subgrupos de riesgo).</w:t>
      </w:r>
    </w:p>
    <w:p>
      <w:pPr>
        <w:pStyle w:val="Heading1"/>
      </w:pPr>
      <w:r>
        <w:t xml:space="preserve">2. Esquema lógico: cómo los tres específicos determinan la eficacia</w:t>
      </w:r>
    </w:p>
    <w:p>
      <w:pPr>
        <w:spacing w:after="120"/>
        <w:jc w:val="both"/>
      </w:pPr>
      <w:r>
        <w:rPr>
          <w:sz w:val="22"/>
          <w:szCs w:val="22"/>
        </w:rPr>
        <w:t xml:space="preserve">En el diseño preexperimental de la tesis, la eficacia se define operacionalmente: el sistema es eficaz si produce el cambio esperado en las tres dimensiones de la variable dependiente (intensidad, continuidad y control), que provienen de los criterios del Gaming Disorder de la CIE-11 [29]. Cada objetivo específico verifica una condición necesaria; las tres juntas constituyen la condición suficiente. Así, ningún específico “evalúa la eficacia” por sí solo — la eficacia se determina en el O.G. al integrar los tres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480"/>
        <w:gridCol w:w="2880"/>
      </w:tblGrid>
      <w:tr>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O.E.</w:t>
            </w:r>
          </w:p>
        </w:tc>
        <w:tc>
          <w:tcPr>
            <w:tcW w:type="dxa" w:w="2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Operación (verbo = lo que realmente se hizo)</w:t>
            </w:r>
          </w:p>
        </w:tc>
        <w:tc>
          <w:tcPr>
            <w:tcW w:type="dxa" w:w="24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Condición que verifica</w:t>
            </w:r>
          </w:p>
        </w:tc>
        <w:tc>
          <w:tcPr>
            <w:tcW w:type="dxa" w:w="28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Aporte al O.G. (eficacia)</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Contrastar HPD pre/post → prueba t de Student</w:t>
            </w:r>
          </w:p>
        </w:tc>
        <w:tc>
          <w:tcPr>
            <w:tcW w:type="dxa" w:w="2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El sistema reduce la dosis de exposición (intensidad)</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1.ª condición necesaria de la eficacia preventiva</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Comparar DCJ pre/post → prueba de Wilcoxon</w:t>
            </w:r>
          </w:p>
        </w:tc>
        <w:tc>
          <w:tcPr>
            <w:tcW w:type="dxa" w:w="2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El sistema interrumpe el patrón sostenido (continuidad)</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2.ª condición necesaria de la eficacia preventiva</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Analizar variación ICOGS-A pre/post → prueba de Wilcoxon</w:t>
            </w:r>
          </w:p>
        </w:tc>
        <w:tc>
          <w:tcPr>
            <w:tcW w:type="dxa" w:w="2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El sistema actúa sobre el mecanismo regulatorio (control)</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3.ª condición necesaria de la eficacia preventiva</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Cierre</w:t>
            </w:r>
          </w:p>
        </w:tc>
        <w:tc>
          <w:tcPr>
            <w:tcW w:type="dxa" w:w="8260"/>
            <w:gridSpan w:val="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bCs/>
                <w:sz w:val="18"/>
                <w:szCs w:val="18"/>
              </w:rPr>
              <w:t xml:space="preserve">Regla de decisión del O.G.: el sistema se declara eficaz si y solo si las tres contrastaciones resultan significativas en la dirección esperada (p &lt; .05).</w:t>
            </w:r>
          </w:p>
        </w:tc>
      </w:tr>
    </w:tbl>
    <w:p>
      <w:pPr>
        <w:spacing w:after="80"/>
        <w:jc w:val="both"/>
      </w:pPr>
      <w:r>
        <w:rPr>
          <w:sz w:val="22"/>
          <w:szCs w:val="22"/>
        </w:rPr>
        <w:t xml:space="preserve"/>
      </w:r>
    </w:p>
    <w:p>
      <w:pPr>
        <w:pStyle w:val="Heading1"/>
      </w:pPr>
      <w:r>
        <w:t xml:space="preserve">3. Objetivos propuestos (Set A — recomendado)</w:t>
      </w:r>
    </w:p>
    <w:p>
      <w:pPr>
        <w:spacing w:after="120"/>
        <w:jc w:val="both"/>
      </w:pPr>
      <w:r>
        <w:rPr>
          <w:b/>
          <w:bCs/>
          <w:sz w:val="22"/>
          <w:szCs w:val="22"/>
        </w:rPr>
        <w:t xml:space="preserve">O.G.: </w:t>
      </w:r>
      <w:r>
        <w:rPr>
          <w:sz w:val="22"/>
          <w:szCs w:val="22"/>
        </w:rPr>
        <w:t xml:space="preserve">Determinar la eficacia de un sistema predictivo basado en machine learning para la prevención del uso excesivo de videojuegos en universitarios de Lima Norte, Perú 2025.</w:t>
      </w:r>
    </w:p>
    <w:p>
      <w:pPr>
        <w:spacing w:after="120"/>
        <w:jc w:val="both"/>
      </w:pPr>
      <w:r>
        <w:rPr>
          <w:b/>
          <w:bCs/>
          <w:sz w:val="22"/>
          <w:szCs w:val="22"/>
        </w:rPr>
        <w:t xml:space="preserve">O.E.1: </w:t>
      </w:r>
      <w:r>
        <w:rPr>
          <w:sz w:val="22"/>
          <w:szCs w:val="22"/>
        </w:rPr>
        <w:t xml:space="preserve">Contrastar las horas promedio de juego por día (HPD) registradas antes y después de la implementación del sistema predictivo, a fin de verificar la reducción de la intensidad del uso de videojuegos.</w:t>
      </w:r>
    </w:p>
    <w:p>
      <w:pPr>
        <w:spacing w:after="120"/>
        <w:jc w:val="both"/>
      </w:pPr>
      <w:r>
        <w:rPr>
          <w:b/>
          <w:bCs/>
          <w:sz w:val="22"/>
          <w:szCs w:val="22"/>
        </w:rPr>
        <w:t xml:space="preserve">O.E.2: </w:t>
      </w:r>
      <w:r>
        <w:rPr>
          <w:sz w:val="22"/>
          <w:szCs w:val="22"/>
        </w:rPr>
        <w:t xml:space="preserve">Comparar los días consecutivos de juego (DCJ) obtenidos antes y después de la intervención con el sistema predictivo, con el propósito de establecer la disminución de la continuidad del uso de videojuegos.</w:t>
      </w:r>
    </w:p>
    <w:p>
      <w:pPr>
        <w:spacing w:after="120"/>
        <w:jc w:val="both"/>
      </w:pPr>
      <w:r>
        <w:rPr>
          <w:b/>
          <w:bCs/>
          <w:sz w:val="22"/>
          <w:szCs w:val="22"/>
        </w:rPr>
        <w:t xml:space="preserve">O.E.3: </w:t>
      </w:r>
      <w:r>
        <w:rPr>
          <w:sz w:val="22"/>
          <w:szCs w:val="22"/>
        </w:rPr>
        <w:t xml:space="preserve">Analizar la variación del puntaje del instrumento ICOGS-A entre el pretest y el postest, para identificar la mejora del control sobre el comportamiento de juego tras la exposición al sistema predictivo.</w:t>
      </w:r>
    </w:p>
    <w:p>
      <w:pPr>
        <w:spacing w:after="120"/>
        <w:jc w:val="both"/>
      </w:pPr>
      <w:r>
        <w:rPr>
          <w:i/>
          <w:iCs/>
          <w:sz w:val="22"/>
          <w:szCs w:val="22"/>
        </w:rPr>
        <w:t xml:space="preserve">Estructura de cada específico: verbo operativo distinto + indicador con nombre propio + momento de medición + finalidad ligada a la dimensión. El sujeto que produce el cambio sigue siendo el sistema (“tras la implementación / intervención / exposición al sistema predictivo”), lo que mantiene el enfoque de ingeniería.</w:t>
      </w:r>
    </w:p>
    <w:p>
      <w:pPr>
        <w:pStyle w:val="Heading1"/>
      </w:pPr>
      <w:r>
        <w:t xml:space="preserve">4. Justificación de cada objetivo específico frente al O.G.</w:t>
      </w:r>
    </w:p>
    <w:p>
      <w:pPr>
        <w:pStyle w:val="Heading2"/>
      </w:pPr>
      <w:r>
        <w:t xml:space="preserve">4.1 Por qué el O.E.1 (contrastar HPD) determina parte de la eficacia</w:t>
      </w:r>
    </w:p>
    <w:p>
      <w:pPr>
        <w:spacing w:after="120"/>
        <w:jc w:val="both"/>
      </w:pPr>
      <w:r>
        <w:rPr>
          <w:sz w:val="22"/>
          <w:szCs w:val="22"/>
        </w:rPr>
        <w:t xml:space="preserve">La eficacia de una intervención preventiva sobre el uso excesivo se manifiesta primero en la dosis de exposición. La duración diaria de juego es el indicador con mayor capacidad para distinguir el uso recreativo del problemático en población joven (Brunborg et al. [32]; King et al. [47]) y la CIE-11 recoge la duración/intensidad como manifestación central del deterioro del control [29]. En la propia tesis, HPD resultó el predictor dominante del modelo XGBoost (76.67 % de importancia relativa), de modo que la variable que mejor predice el riesgo es también la que el sistema debe modificar primero. Si el sistema no redujera HPD, no podría declararse eficaz aunque mejoraran los demás indicadores: contrastar HPD pre/post es, por tanto, la primera condición necesaria del juicio de eficacia que formula el O.G.</w:t>
      </w:r>
    </w:p>
    <w:p>
      <w:pPr>
        <w:pStyle w:val="Heading2"/>
      </w:pPr>
      <w:r>
        <w:t xml:space="preserve">4.2 Por qué el O.E.2 (comparar DCJ) determina parte de la eficacia</w:t>
      </w:r>
    </w:p>
    <w:p>
      <w:pPr>
        <w:spacing w:after="120"/>
        <w:jc w:val="both"/>
      </w:pPr>
      <w:r>
        <w:rPr>
          <w:sz w:val="22"/>
          <w:szCs w:val="22"/>
        </w:rPr>
        <w:t xml:space="preserve">Reducir horas no basta si el hábito permanece intacto: la persistencia del juego —rachas ininterrumpidas de días jugados— es una señal conductual independiente del deterioro del control, asociada al juego problemático y a peores resultados de salud mental (Marmet et al. [31]) y recogida por la CIE-11 como criterio de continuidad [29]. Una intervención podría disminuir la intensidad por sesión sin romper la regularidad del patrón; por eso la continuidad se mide y contrasta por separado. Comparar DCJ pre/post verifica la segunda condición necesaria: que el sistema interrumpe el patrón sostenido y no solo lo atenúa.</w:t>
      </w:r>
    </w:p>
    <w:p>
      <w:pPr>
        <w:pStyle w:val="Heading2"/>
      </w:pPr>
      <w:r>
        <w:t xml:space="preserve">4.3 Por qué el O.E.3 (analizar ICOGS-A) determina parte de la eficacia</w:t>
      </w:r>
    </w:p>
    <w:p>
      <w:pPr>
        <w:spacing w:after="120"/>
        <w:jc w:val="both"/>
      </w:pPr>
      <w:r>
        <w:rPr>
          <w:sz w:val="22"/>
          <w:szCs w:val="22"/>
        </w:rPr>
        <w:t xml:space="preserve">Los dos primeros específicos miden síntomas conductuales observables; el tercero verifica el mecanismo. El impaired control es el criterio diagnóstico central del Gaming Disorder según la OMS [29] y el ICOGS fue desarrollado precisamente para cuantificarlo, mostrando sensibilidad a intervenciones basadas en autorregulación (Kowalik, Delfabbro y King [44]). Sin mejora del control, una reducción de horas podría ser transitoria o atribuible a factores externos (carga académica, disponibilidad de tiempo); con mejora del control, el cambio conductual tiene un correlato psicológico que lo sostiene. Analizar la variación del ICOGS-A cierra la determinación de la eficacia: confirma que el sistema no solo modifica lo que el usuario hace, sino su capacidad de regularlo.</w:t>
      </w:r>
    </w:p>
    <w:p>
      <w:pPr>
        <w:pStyle w:val="Heading2"/>
      </w:pPr>
      <w:r>
        <w:t xml:space="preserve">4.4 Cierre lógico</w:t>
      </w:r>
    </w:p>
    <w:p>
      <w:pPr>
        <w:spacing w:after="120"/>
        <w:jc w:val="both"/>
      </w:pPr>
      <w:r>
        <w:rPr>
          <w:sz w:val="22"/>
          <w:szCs w:val="22"/>
        </w:rPr>
        <w:t xml:space="preserve">Con los tres específicos cumplidos, el O.G. queda determinado por integración: el sistema redujo la intensidad (O.E.1), interrumpió la continuidad (O.E.2) y fortaleció el control (O.E.3); como las tres dimensiones agotan la operacionalización de la variable dependiente (Anexo 1), la conclusión “el sistema es eficaz para la prevención del uso excesivo” se sigue de los resultados sin salto lógico. Esta es exactamente la estructura que ya tiene el capítulo de resultados, por lo que ningún cálculo cambia.</w:t>
      </w:r>
    </w:p>
    <w:p>
      <w:pPr>
        <w:sectPr>
          <w:pgSz w:w="12240" w:h="15840" w:orient="portrait"/>
          <w:pgMar w:top="1440" w:right="1440" w:bottom="1440" w:left="1440" w:header="708" w:footer="708" w:gutter="0"/>
          <w:pgNumType/>
          <w:docGrid w:linePitch="360"/>
        </w:sectPr>
      </w:pPr>
    </w:p>
    <w:p>
      <w:pPr>
        <w:pStyle w:val="Heading1"/>
      </w:pPr>
      <w:r>
        <w:t xml:space="preserve">5. Matriz de consistencia (Set A — recomendado)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¿Cuál es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Determinar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El sistema predictivo basado en machine learning es eficaz para la prevención del uso excesivo de videojuegos en universitarios de Lima Norte, Perú 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¿Qué diferencia existe entre las horas promedio de juego por día (HPD) registradas antes y después de la implementación del sistema predictivo?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Contrastar las horas promedio de juego por día (HPD) registradas antes y después de la implementación del sistema predictivo, a fin de verificar la reducción de la intensidad del uso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Las horas promedio de juego por día (HPD) disminuyen significativamente tras la implementación del sistema predictivo.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¿Qué diferencia existe entre los días consecutivos de juego (DCJ) registrados en el pretest y el postest tras la intervención con el sistema predictivo?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Comparar los días consecutivos de juego (DCJ) obtenidos antes y después de la intervención con el sistema predictivo, con el propósito de establecer la disminución de la continuidad del uso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Los días consecutivos de juego (DCJ) disminuyen significativamente tras la intervención con el sistema predictivo.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¿Qué variación presenta el puntaje del instrumento ICOGS-A entre el pretest y el postest tras la exposición al sistema predictivo y sus alertas preventivas?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Analizar la variación del puntaje del instrumento ICOGS-A entre el pretest y el postest, para identificar la mejora del control sobre el comportamiento de juego tras la exposición al sistema predictivo.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El puntaje del instrumento ICOGS-A disminuye significativamente tras la exposición al sistema predictivo, lo que evidencia la mejora del 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6. Variantes de redacción (si el asesor pide otros verbos)</w:t>
      </w:r>
    </w:p>
    <w:p>
      <w:pPr>
        <w:spacing w:after="120"/>
        <w:jc w:val="both"/>
      </w:pPr>
      <w:r>
        <w:rPr>
          <w:sz w:val="22"/>
          <w:szCs w:val="22"/>
        </w:rPr>
        <w:t xml:space="preserve">Los tres sets respetan el mismo principio (verbos operativos distintos, indicador nombrado, sin repetir “eficacia”). Solo cambia la redacción; la matriz, las hipótesis y los resultados son los mismos.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0"/>
        <w:gridCol w:w="2650"/>
        <w:gridCol w:w="26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
            </w:r>
          </w:p>
        </w:tc>
        <w:tc>
          <w:tcPr>
            <w:tcW w:type="dxa" w:w="265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Set A (recomendado)</w:t>
            </w:r>
          </w:p>
        </w:tc>
        <w:tc>
          <w:tcPr>
            <w:tcW w:type="dxa" w:w="265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Set B</w:t>
            </w:r>
          </w:p>
        </w:tc>
        <w:tc>
          <w:tcPr>
            <w:tcW w:type="dxa" w:w="2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Set C</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O.E.1 (HPD)</w:t>
            </w:r>
          </w:p>
        </w:tc>
        <w:tc>
          <w:tcPr>
            <w:tcW w:type="dxa" w:w="2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Contrastar las HPD registradas antes y después…, a fin de verificar la reducción de la intensidad del uso.</w:t>
            </w:r>
          </w:p>
        </w:tc>
        <w:tc>
          <w:tcPr>
            <w:tcW w:type="dxa" w:w="2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Medir la variación de las HPD entre el pretest y el postest…, para establecer la reducción de la intensidad del uso.</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Cuantificar la reducción de las HPD tras la implementación del sistema…, como evidencia del cambio en la intensidad del uso.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O.E.2 (DCJ)</w:t>
            </w:r>
          </w:p>
        </w:tc>
        <w:tc>
          <w:tcPr>
            <w:tcW w:type="dxa" w:w="2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Comparar los DCJ obtenidos antes y después…, con el propósito de establecer la disminución de la continuidad del uso.</w:t>
            </w:r>
          </w:p>
        </w:tc>
        <w:tc>
          <w:tcPr>
            <w:tcW w:type="dxa" w:w="2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Estimar la disminución de los DCJ a partir de los registros pre y post intervención…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Identificar la variación de los DCJ entre ambas mediciones…, en relación con la continuidad del uso.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O.E.3 (ICOGS-A)</w:t>
            </w:r>
          </w:p>
        </w:tc>
        <w:tc>
          <w:tcPr>
            <w:tcW w:type="dxa" w:w="2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Analizar la variación del puntaje ICOGS-A entre el pretest y el postest, para identificar la mejora del control sobre el comportamiento de juego.</w:t>
            </w:r>
          </w:p>
        </w:tc>
        <w:tc>
          <w:tcPr>
            <w:tcW w:type="dxa" w:w="2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Examinar el cambio del puntaje ICOGS-A tras la exposición al sistema…, respecto del control sobre el comportamiento de juego.</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Valorar el cambio del puntaje ICOGS-A entre ambas mediciones…, como expresión de la mejora del control conductual.</w:t>
            </w:r>
          </w:p>
        </w:tc>
      </w:tr>
    </w:tbl>
    <w:p>
      <w:pPr>
        <w:spacing w:after="120"/>
        <w:jc w:val="both"/>
      </w:pPr>
      <w:r>
        <w:rPr>
          <w:sz w:val="22"/>
          <w:szCs w:val="22"/>
        </w:rPr>
        <w:t xml:space="preserve"/>
      </w:r>
    </w:p>
    <w:p>
      <w:pPr>
        <w:spacing w:after="120"/>
        <w:jc w:val="both"/>
      </w:pPr>
      <w:r>
        <w:rPr>
          <w:b/>
          <w:bCs/>
          <w:sz w:val="22"/>
          <w:szCs w:val="22"/>
        </w:rPr>
        <w:t xml:space="preserve">Nota: </w:t>
      </w:r>
      <w:r>
        <w:rPr>
          <w:sz w:val="22"/>
          <w:szCs w:val="22"/>
        </w:rPr>
        <w:t xml:space="preserve">evitar en los específicos los verbos “determinar”, “evaluar la eficacia” e “influencia”, que duplican el nivel del O.G. Verbos operativos aceptados en tesis cuantitativas: contrastar, comparar, medir, cuantificar, estimar, analizar, examinar, identificar, valorar.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1F4E79"/>
      <w:sz w:val="30"/>
      <w:szCs w:val="30"/>
    </w:rPr>
  </w:style>
  <w:style w:type="paragraph" w:styleId="Heading2">
    <w:name w:val="Heading 2"/>
    <w:basedOn w:val="Normal"/>
    <w:next w:val="Normal"/>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2026-06-12T02:18:29.716Z</dcterms:created>
  <dcterms:modified xsi:type="dcterms:W3CDTF">2026-06-12T02:18:29.717Z</dcterms:modified>
</cp:coreProperties>
</file>

<file path=docProps/custom.xml><?xml version="1.0" encoding="utf-8"?>
<Properties xmlns="http://schemas.openxmlformats.org/officeDocument/2006/custom-properties" xmlns:vt="http://schemas.openxmlformats.org/officeDocument/2006/docPropsVTypes"/>
</file>