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color w:val="0A2F62"/>
          <w:sz w:val="36"/>
        </w:rPr>
        <w:t>Servicio compartido de correo HTML</w:t>
      </w:r>
    </w:p>
    <w:p>
      <w:pPr>
        <w:spacing w:before="240" w:after="100"/>
      </w:pPr>
      <w:r>
        <w:rPr>
          <w:rFonts w:ascii="Arial" w:hAnsi="Arial"/>
          <w:b/>
          <w:color w:val="0A2F62"/>
          <w:sz w:val="28"/>
        </w:rPr>
        <w:t>Propósito</w:t>
      </w:r>
    </w:p>
    <w:p>
      <w:pPr>
        <w:spacing w:after="120" w:line="269" w:lineRule="auto"/>
      </w:pPr>
      <w:r>
        <w:rPr>
          <w:rFonts w:ascii="Arial" w:hAnsi="Arial"/>
        </w:rPr>
        <w:t>Este documento explica cómo reutilizar el correo ya implementado en el backend. Aplica a HU-002 para el primer código de verificación, HU-003 para el reenvío del código y HU-004 para el enlace de recuperación. Ningún equipo debe crear otra configuración SMTP ni otro servicio de correo.</w:t>
      </w:r>
    </w:p>
    <w:p>
      <w:pPr>
        <w:spacing w:before="240" w:after="100"/>
      </w:pPr>
      <w:r>
        <w:rPr>
          <w:rFonts w:ascii="Arial" w:hAnsi="Arial"/>
          <w:b/>
          <w:color w:val="0A2F62"/>
          <w:sz w:val="28"/>
        </w:rPr>
        <w:t>Componentes disponibles</w:t>
      </w:r>
    </w:p>
    <w:tbl>
      <w:tblPr>
        <w:tblW w:type="auto" w:w="0"/>
        <w:jc w:val="center"/>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703"/>
        <w:gridCol w:w="4703"/>
      </w:tblGrid>
      <w:tr>
        <w:tc>
          <w:tcPr>
            <w:tcW w:type="dxa" w:w="4703"/>
            <w:shd w:val="clear" w:color="auto" w:fill="0A2F62"/>
          </w:tcPr>
          <w:p>
            <w:r>
              <w:rPr>
                <w:b/>
                <w:color w:val="FFFFFF"/>
                <w:sz w:val="19"/>
              </w:rPr>
            </w:r>
            <w:r>
              <w:rPr>
                <w:rFonts w:ascii="Arial" w:hAnsi="Arial"/>
                <w:b/>
                <w:color w:val="FFFFFF"/>
                <w:sz w:val="19"/>
              </w:rPr>
              <w:t>Componente</w:t>
            </w:r>
          </w:p>
        </w:tc>
        <w:tc>
          <w:tcPr>
            <w:tcW w:type="dxa" w:w="4703"/>
            <w:shd w:val="clear" w:color="auto" w:fill="0A2F62"/>
          </w:tcPr>
          <w:p>
            <w:r>
              <w:rPr>
                <w:b/>
                <w:color w:val="FFFFFF"/>
                <w:sz w:val="19"/>
              </w:rPr>
            </w:r>
            <w:r>
              <w:rPr>
                <w:rFonts w:ascii="Arial" w:hAnsi="Arial"/>
                <w:b/>
                <w:color w:val="FFFFFF"/>
                <w:sz w:val="19"/>
              </w:rPr>
              <w:t>Responsabilidad</w:t>
            </w:r>
          </w:p>
        </w:tc>
      </w:tr>
      <w:tr>
        <w:tc>
          <w:tcPr>
            <w:tcW w:type="dxa" w:w="4703"/>
          </w:tcPr>
          <w:p>
            <w:r>
              <w:rPr>
                <w:sz w:val="19"/>
              </w:rPr>
            </w:r>
            <w:r>
              <w:rPr>
                <w:rFonts w:ascii="Consolas" w:hAnsi="Consolas"/>
                <w:sz w:val="19"/>
              </w:rPr>
              <w:t>MailService</w:t>
            </w:r>
          </w:p>
        </w:tc>
        <w:tc>
          <w:tcPr>
            <w:tcW w:type="dxa" w:w="4703"/>
          </w:tcPr>
          <w:p>
            <w:r>
              <w:rPr>
                <w:sz w:val="19"/>
              </w:rPr>
            </w:r>
            <w:r>
              <w:rPr>
                <w:rFonts w:ascii="Arial" w:hAnsi="Arial"/>
                <w:sz w:val="19"/>
              </w:rPr>
              <w:t>Contrato que utilizan los servicios del negocio</w:t>
            </w:r>
          </w:p>
        </w:tc>
      </w:tr>
      <w:tr>
        <w:tc>
          <w:tcPr>
            <w:tcW w:type="dxa" w:w="4703"/>
          </w:tcPr>
          <w:p>
            <w:r>
              <w:rPr>
                <w:sz w:val="19"/>
              </w:rPr>
            </w:r>
            <w:r>
              <w:rPr>
                <w:rFonts w:ascii="Consolas" w:hAnsi="Consolas"/>
                <w:sz w:val="19"/>
              </w:rPr>
              <w:t>SmtpMailService</w:t>
            </w:r>
          </w:p>
        </w:tc>
        <w:tc>
          <w:tcPr>
            <w:tcW w:type="dxa" w:w="4703"/>
          </w:tcPr>
          <w:p>
            <w:r>
              <w:rPr>
                <w:sz w:val="19"/>
              </w:rPr>
            </w:r>
            <w:r>
              <w:rPr>
                <w:rFonts w:ascii="Arial" w:hAnsi="Arial"/>
                <w:sz w:val="19"/>
              </w:rPr>
              <w:t>Construye y envía el mensaje HTML mediante el servidor SMTP configurado</w:t>
            </w:r>
          </w:p>
        </w:tc>
      </w:tr>
      <w:tr>
        <w:tc>
          <w:tcPr>
            <w:tcW w:type="dxa" w:w="4703"/>
          </w:tcPr>
          <w:p>
            <w:r>
              <w:rPr>
                <w:sz w:val="19"/>
              </w:rPr>
            </w:r>
            <w:r>
              <w:rPr>
                <w:rFonts w:ascii="Consolas" w:hAnsi="Consolas"/>
                <w:sz w:val="19"/>
              </w:rPr>
              <w:t>HtmlMailMessage</w:t>
            </w:r>
          </w:p>
        </w:tc>
        <w:tc>
          <w:tcPr>
            <w:tcW w:type="dxa" w:w="4703"/>
          </w:tcPr>
          <w:p>
            <w:r>
              <w:rPr>
                <w:sz w:val="19"/>
              </w:rPr>
            </w:r>
            <w:r>
              <w:rPr>
                <w:rFonts w:ascii="Arial" w:hAnsi="Arial"/>
                <w:sz w:val="19"/>
              </w:rPr>
              <w:t>Transporta destinatarios, asunto, ruta de plantilla y campos variables</w:t>
            </w:r>
          </w:p>
        </w:tc>
      </w:tr>
      <w:tr>
        <w:tc>
          <w:tcPr>
            <w:tcW w:type="dxa" w:w="4703"/>
          </w:tcPr>
          <w:p>
            <w:r>
              <w:rPr>
                <w:sz w:val="19"/>
              </w:rPr>
            </w:r>
            <w:r>
              <w:rPr>
                <w:rFonts w:ascii="Consolas" w:hAnsi="Consolas"/>
                <w:sz w:val="19"/>
              </w:rPr>
              <w:t>MailTemplateRenderer</w:t>
            </w:r>
          </w:p>
        </w:tc>
        <w:tc>
          <w:tcPr>
            <w:tcW w:type="dxa" w:w="4703"/>
          </w:tcPr>
          <w:p>
            <w:r>
              <w:rPr>
                <w:sz w:val="19"/>
              </w:rPr>
            </w:r>
            <w:r>
              <w:rPr>
                <w:rFonts w:ascii="Arial" w:hAnsi="Arial"/>
                <w:sz w:val="19"/>
              </w:rPr>
              <w:t>Lee la plantilla, valida su ruta y reemplaza campos de forma segura</w:t>
            </w:r>
          </w:p>
        </w:tc>
      </w:tr>
      <w:tr>
        <w:tc>
          <w:tcPr>
            <w:tcW w:type="dxa" w:w="4703"/>
          </w:tcPr>
          <w:p>
            <w:r>
              <w:rPr>
                <w:sz w:val="19"/>
              </w:rPr>
            </w:r>
            <w:r>
              <w:rPr>
                <w:rFonts w:ascii="Consolas" w:hAnsi="Consolas"/>
                <w:sz w:val="19"/>
              </w:rPr>
              <w:t>MailDeliveryException</w:t>
            </w:r>
          </w:p>
        </w:tc>
        <w:tc>
          <w:tcPr>
            <w:tcW w:type="dxa" w:w="4703"/>
          </w:tcPr>
          <w:p>
            <w:r>
              <w:rPr>
                <w:sz w:val="19"/>
              </w:rPr>
            </w:r>
            <w:r>
              <w:rPr>
                <w:rFonts w:ascii="Arial" w:hAnsi="Arial"/>
                <w:sz w:val="19"/>
              </w:rPr>
              <w:t>Representa un fallo del servidor de correo sin revelar información interna</w:t>
            </w:r>
          </w:p>
        </w:tc>
      </w:tr>
    </w:tbl>
    <w:p>
      <w:pPr>
        <w:spacing w:after="80"/>
      </w:pPr>
    </w:p>
    <w:p>
      <w:pPr>
        <w:spacing w:after="120" w:line="269" w:lineRule="auto"/>
      </w:pPr>
      <w:r>
        <w:rPr>
          <w:rFonts w:ascii="Arial" w:hAnsi="Arial"/>
        </w:rPr>
        <w:t xml:space="preserve">Las clases están en </w:t>
      </w:r>
      <w:r>
        <w:rPr>
          <w:rFonts w:ascii="Consolas" w:hAnsi="Consolas"/>
          <w:sz w:val="19"/>
        </w:rPr>
        <w:t>pe.edu.utp.escuela.app.mail</w:t>
      </w:r>
      <w:r>
        <w:rPr>
          <w:rFonts w:ascii="Arial" w:hAnsi="Arial"/>
        </w:rPr>
        <w:t xml:space="preserve">; la excepción se encuentra en </w:t>
      </w:r>
      <w:r>
        <w:rPr>
          <w:rFonts w:ascii="Consolas" w:hAnsi="Consolas"/>
          <w:sz w:val="19"/>
        </w:rPr>
        <w:t>pe.edu.utp.escuela.app.exception</w:t>
      </w:r>
      <w:r>
        <w:rPr>
          <w:rFonts w:ascii="Arial" w:hAnsi="Arial"/>
        </w:rPr>
        <w:t>. La dependencia Spring Mail y la configuración SMTP compartida ya existen. Los archivos por perfil no deben duplicar esa configuración.</w:t>
      </w:r>
    </w:p>
    <w:p>
      <w:pPr>
        <w:spacing w:before="240" w:after="100"/>
      </w:pPr>
      <w:r>
        <w:rPr>
          <w:rFonts w:ascii="Arial" w:hAnsi="Arial"/>
          <w:b/>
          <w:color w:val="0A2F62"/>
          <w:sz w:val="28"/>
        </w:rPr>
        <w:t>Regla sobre destinatarios</w:t>
      </w:r>
    </w:p>
    <w:p>
      <w:pPr>
        <w:spacing w:after="120" w:line="269" w:lineRule="auto"/>
      </w:pPr>
      <w:r>
        <w:rPr>
          <w:rFonts w:ascii="Arial" w:hAnsi="Arial"/>
        </w:rPr>
        <w:t xml:space="preserve">El contrato interno puede contener una lista de destinatarios. Sin embargo, los flujos de EP01 son personales y deben enviar el mensaje solo al correo de la cuenta correspondiente. Se utiliza </w:t>
      </w:r>
      <w:r>
        <w:rPr>
          <w:rFonts w:ascii="Consolas" w:hAnsi="Consolas"/>
          <w:sz w:val="19"/>
        </w:rPr>
        <w:t>HtmlMailMessage.to(...)</w:t>
      </w:r>
      <w:r>
        <w:rPr>
          <w:rFonts w:ascii="Arial" w:hAnsi="Arial"/>
        </w:rPr>
        <w:t xml:space="preserve">, que recibe un destinatario. No se agrupan alumnos en el campo </w:t>
      </w:r>
      <w:r>
        <w:rPr>
          <w:rFonts w:ascii="Consolas" w:hAnsi="Consolas"/>
          <w:sz w:val="19"/>
        </w:rPr>
        <w:t>Para</w:t>
      </w:r>
      <w:r>
        <w:rPr>
          <w:rFonts w:ascii="Arial" w:hAnsi="Arial"/>
        </w:rPr>
        <w:t>, no se usan copias y no se muestran direcciones de terceros.</w:t>
      </w:r>
    </w:p>
    <w:p>
      <w:pPr>
        <w:spacing w:after="120" w:line="269" w:lineRule="auto"/>
      </w:pPr>
      <w:r>
        <w:rPr>
          <w:rFonts w:ascii="Arial" w:hAnsi="Arial"/>
        </w:rPr>
        <w:t xml:space="preserve">El endpoint de prueba también recibe exactamente un campo </w:t>
      </w:r>
      <w:r>
        <w:rPr>
          <w:rFonts w:ascii="Consolas" w:hAnsi="Consolas"/>
          <w:sz w:val="19"/>
        </w:rPr>
        <w:t>recipient</w:t>
      </w:r>
      <w:r>
        <w:rPr>
          <w:rFonts w:ascii="Arial" w:hAnsi="Arial"/>
        </w:rPr>
        <w:t>. Esta decisión no limita el servicio compartido para una necesidad futura, pero evita exponer correos durante EP01.</w:t>
      </w:r>
    </w:p>
    <w:p>
      <w:pPr>
        <w:spacing w:before="240" w:after="100"/>
      </w:pPr>
      <w:r>
        <w:rPr>
          <w:rFonts w:ascii="Arial" w:hAnsi="Arial"/>
          <w:b/>
          <w:color w:val="0A2F62"/>
          <w:sz w:val="28"/>
        </w:rPr>
        <w:t>Cómo crear una plantilla</w:t>
      </w:r>
    </w:p>
    <w:p>
      <w:pPr>
        <w:spacing w:after="120" w:line="269" w:lineRule="auto"/>
      </w:pPr>
      <w:r>
        <w:rPr>
          <w:rFonts w:ascii="Arial" w:hAnsi="Arial"/>
        </w:rPr>
        <w:t xml:space="preserve">1. Crear un archivo HTML debajo de </w:t>
      </w:r>
      <w:r>
        <w:rPr>
          <w:rFonts w:ascii="Consolas" w:hAnsi="Consolas"/>
          <w:sz w:val="19"/>
        </w:rPr>
        <w:t>src/main/resources/mail</w:t>
      </w:r>
      <w:r>
        <w:rPr>
          <w:rFonts w:ascii="Arial" w:hAnsi="Arial"/>
        </w:rPr>
        <w:t>.</w:t>
      </w:r>
    </w:p>
    <w:p>
      <w:pPr>
        <w:spacing w:after="120" w:line="269" w:lineRule="auto"/>
      </w:pPr>
      <w:r>
        <w:rPr>
          <w:rFonts w:ascii="Arial" w:hAnsi="Arial"/>
        </w:rPr>
        <w:t xml:space="preserve">2. Usar un nombre descriptivo en inglés y terminado en </w:t>
      </w:r>
      <w:r>
        <w:rPr>
          <w:rFonts w:ascii="Consolas" w:hAnsi="Consolas"/>
          <w:sz w:val="19"/>
        </w:rPr>
        <w:t>.html</w:t>
      </w:r>
      <w:r>
        <w:rPr>
          <w:rFonts w:ascii="Arial" w:hAnsi="Arial"/>
        </w:rPr>
        <w:t>.</w:t>
      </w:r>
    </w:p>
    <w:p>
      <w:pPr>
        <w:spacing w:after="120" w:line="269" w:lineRule="auto"/>
      </w:pPr>
      <w:r>
        <w:rPr>
          <w:rFonts w:ascii="Arial" w:hAnsi="Arial"/>
        </w:rPr>
        <w:t xml:space="preserve">3. Escribir los valores variables con la forma </w:t>
      </w:r>
      <w:r>
        <w:rPr>
          <w:rFonts w:ascii="Consolas" w:hAnsi="Consolas"/>
          <w:sz w:val="19"/>
        </w:rPr>
        <w:t>{{fieldName}}</w:t>
      </w:r>
      <w:r>
        <w:rPr>
          <w:rFonts w:ascii="Arial" w:hAnsi="Arial"/>
        </w:rPr>
        <w:t>.</w:t>
      </w:r>
    </w:p>
    <w:p>
      <w:pPr>
        <w:spacing w:after="120" w:line="269" w:lineRule="auto"/>
      </w:pPr>
      <w:r>
        <w:rPr>
          <w:rFonts w:ascii="Arial" w:hAnsi="Arial"/>
        </w:rPr>
        <w:t>4. Usar estilos compatibles con clientes de correo, preferentemente estilos en línea y estructura simple mediante tablas.</w:t>
      </w:r>
    </w:p>
    <w:p>
      <w:pPr>
        <w:spacing w:after="120" w:line="269" w:lineRule="auto"/>
      </w:pPr>
      <w:r>
        <w:rPr>
          <w:rFonts w:ascii="Arial" w:hAnsi="Arial"/>
        </w:rPr>
        <w:t>5. No cargar JavaScript, formularios, contraseñas, tokens de seguimiento ni recursos privados.</w:t>
      </w:r>
    </w:p>
    <w:p>
      <w:pPr>
        <w:spacing w:after="120" w:line="269" w:lineRule="auto"/>
      </w:pPr>
      <w:r>
        <w:rPr>
          <w:rFonts w:ascii="Arial" w:hAnsi="Arial"/>
        </w:rPr>
        <w:t>6. No insertar HTML recibido del usuario: el renderizador escapa todos los valores variables.</w:t>
      </w:r>
    </w:p>
    <w:p>
      <w:pPr>
        <w:spacing w:after="120" w:line="269" w:lineRule="auto"/>
      </w:pPr>
      <w:r>
        <w:rPr>
          <w:rFonts w:ascii="Arial" w:hAnsi="Arial"/>
        </w:rPr>
        <w:t>Plantillas requeridas por las historias:</w:t>
      </w:r>
    </w:p>
    <w:tbl>
      <w:tblPr>
        <w:tblW w:type="auto" w:w="0"/>
        <w:jc w:val="center"/>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35"/>
        <w:gridCol w:w="3135"/>
        <w:gridCol w:w="3135"/>
      </w:tblGrid>
      <w:tr>
        <w:tc>
          <w:tcPr>
            <w:tcW w:type="dxa" w:w="3135"/>
            <w:shd w:val="clear" w:color="auto" w:fill="0A2F62"/>
          </w:tcPr>
          <w:p>
            <w:r>
              <w:rPr>
                <w:b/>
                <w:color w:val="FFFFFF"/>
                <w:sz w:val="19"/>
              </w:rPr>
            </w:r>
            <w:r>
              <w:rPr>
                <w:rFonts w:ascii="Arial" w:hAnsi="Arial"/>
                <w:b/>
                <w:color w:val="FFFFFF"/>
                <w:sz w:val="19"/>
              </w:rPr>
              <w:t>Flujo</w:t>
            </w:r>
          </w:p>
        </w:tc>
        <w:tc>
          <w:tcPr>
            <w:tcW w:type="dxa" w:w="3135"/>
            <w:shd w:val="clear" w:color="auto" w:fill="0A2F62"/>
          </w:tcPr>
          <w:p>
            <w:r>
              <w:rPr>
                <w:b/>
                <w:color w:val="FFFFFF"/>
                <w:sz w:val="19"/>
              </w:rPr>
            </w:r>
            <w:r>
              <w:rPr>
                <w:rFonts w:ascii="Arial" w:hAnsi="Arial"/>
                <w:b/>
                <w:color w:val="FFFFFF"/>
                <w:sz w:val="19"/>
              </w:rPr>
              <w:t>Ruta</w:t>
            </w:r>
          </w:p>
        </w:tc>
        <w:tc>
          <w:tcPr>
            <w:tcW w:type="dxa" w:w="3135"/>
            <w:shd w:val="clear" w:color="auto" w:fill="0A2F62"/>
          </w:tcPr>
          <w:p>
            <w:r>
              <w:rPr>
                <w:b/>
                <w:color w:val="FFFFFF"/>
                <w:sz w:val="19"/>
              </w:rPr>
            </w:r>
            <w:r>
              <w:rPr>
                <w:rFonts w:ascii="Arial" w:hAnsi="Arial"/>
                <w:b/>
                <w:color w:val="FFFFFF"/>
                <w:sz w:val="19"/>
              </w:rPr>
              <w:t>Campos mínimos</w:t>
            </w:r>
          </w:p>
        </w:tc>
      </w:tr>
      <w:tr>
        <w:tc>
          <w:tcPr>
            <w:tcW w:type="dxa" w:w="3135"/>
          </w:tcPr>
          <w:p>
            <w:r>
              <w:rPr>
                <w:sz w:val="19"/>
              </w:rPr>
            </w:r>
            <w:r>
              <w:rPr>
                <w:rFonts w:ascii="Arial" w:hAnsi="Arial"/>
                <w:sz w:val="19"/>
              </w:rPr>
              <w:t>Verificación y reenvío</w:t>
            </w:r>
          </w:p>
        </w:tc>
        <w:tc>
          <w:tcPr>
            <w:tcW w:type="dxa" w:w="3135"/>
          </w:tcPr>
          <w:p>
            <w:r>
              <w:rPr>
                <w:sz w:val="19"/>
              </w:rPr>
            </w:r>
            <w:r>
              <w:rPr>
                <w:rFonts w:ascii="Consolas" w:hAnsi="Consolas"/>
                <w:sz w:val="19"/>
              </w:rPr>
              <w:t>mail/verification-code.html</w:t>
            </w:r>
          </w:p>
        </w:tc>
        <w:tc>
          <w:tcPr>
            <w:tcW w:type="dxa" w:w="3135"/>
          </w:tcPr>
          <w:p>
            <w:r>
              <w:rPr>
                <w:sz w:val="19"/>
              </w:rPr>
            </w:r>
            <w:r>
              <w:rPr>
                <w:rFonts w:ascii="Consolas" w:hAnsi="Consolas"/>
                <w:sz w:val="19"/>
              </w:rPr>
              <w:t>name</w:t>
            </w:r>
            <w:r>
              <w:rPr>
                <w:rFonts w:ascii="Arial" w:hAnsi="Arial"/>
                <w:sz w:val="19"/>
              </w:rPr>
              <w:t xml:space="preserve">, </w:t>
            </w:r>
            <w:r>
              <w:rPr>
                <w:rFonts w:ascii="Consolas" w:hAnsi="Consolas"/>
                <w:sz w:val="19"/>
              </w:rPr>
              <w:t>code</w:t>
            </w:r>
          </w:p>
        </w:tc>
      </w:tr>
      <w:tr>
        <w:tc>
          <w:tcPr>
            <w:tcW w:type="dxa" w:w="3135"/>
          </w:tcPr>
          <w:p>
            <w:r>
              <w:rPr>
                <w:sz w:val="19"/>
              </w:rPr>
            </w:r>
            <w:r>
              <w:rPr>
                <w:rFonts w:ascii="Arial" w:hAnsi="Arial"/>
                <w:sz w:val="19"/>
              </w:rPr>
              <w:t>Recuperación</w:t>
            </w:r>
          </w:p>
        </w:tc>
        <w:tc>
          <w:tcPr>
            <w:tcW w:type="dxa" w:w="3135"/>
          </w:tcPr>
          <w:p>
            <w:r>
              <w:rPr>
                <w:sz w:val="19"/>
              </w:rPr>
            </w:r>
            <w:r>
              <w:rPr>
                <w:rFonts w:ascii="Consolas" w:hAnsi="Consolas"/>
                <w:sz w:val="19"/>
              </w:rPr>
              <w:t>mail/password-recovery.html</w:t>
            </w:r>
          </w:p>
        </w:tc>
        <w:tc>
          <w:tcPr>
            <w:tcW w:type="dxa" w:w="3135"/>
          </w:tcPr>
          <w:p>
            <w:r>
              <w:rPr>
                <w:sz w:val="19"/>
              </w:rPr>
            </w:r>
            <w:r>
              <w:rPr>
                <w:rFonts w:ascii="Consolas" w:hAnsi="Consolas"/>
                <w:sz w:val="19"/>
              </w:rPr>
              <w:t>name</w:t>
            </w:r>
            <w:r>
              <w:rPr>
                <w:rFonts w:ascii="Arial" w:hAnsi="Arial"/>
                <w:sz w:val="19"/>
              </w:rPr>
              <w:t xml:space="preserve">, </w:t>
            </w:r>
            <w:r>
              <w:rPr>
                <w:rFonts w:ascii="Consolas" w:hAnsi="Consolas"/>
                <w:sz w:val="19"/>
              </w:rPr>
              <w:t>recoveryUrl</w:t>
            </w:r>
          </w:p>
        </w:tc>
      </w:tr>
    </w:tbl>
    <w:p>
      <w:pPr>
        <w:spacing w:after="80"/>
      </w:pPr>
    </w:p>
    <w:p>
      <w:pPr>
        <w:spacing w:after="120" w:line="269" w:lineRule="auto"/>
      </w:pPr>
      <w:r>
        <w:rPr>
          <w:rFonts w:ascii="Arial" w:hAnsi="Arial"/>
        </w:rPr>
        <w:t xml:space="preserve">Si la plantilla contiene un campo que no se entrega en el mapa, el renderizador rechaza el envío. La ruta también se rechaza si intenta salir de la carpeta </w:t>
      </w:r>
      <w:r>
        <w:rPr>
          <w:rFonts w:ascii="Consolas" w:hAnsi="Consolas"/>
          <w:sz w:val="19"/>
        </w:rPr>
        <w:t>mail</w:t>
      </w:r>
      <w:r>
        <w:rPr>
          <w:rFonts w:ascii="Arial" w:hAnsi="Arial"/>
        </w:rPr>
        <w:t>.</w:t>
      </w:r>
    </w:p>
    <w:p>
      <w:pPr>
        <w:spacing w:before="240" w:after="100"/>
      </w:pPr>
      <w:r>
        <w:rPr>
          <w:rFonts w:ascii="Arial" w:hAnsi="Arial"/>
          <w:b/>
          <w:color w:val="0A2F62"/>
          <w:sz w:val="28"/>
        </w:rPr>
        <w:t>Cómo usarlo desde una historia</w:t>
      </w:r>
    </w:p>
    <w:p>
      <w:pPr>
        <w:spacing w:after="120" w:line="269" w:lineRule="auto"/>
      </w:pPr>
      <w:r>
        <w:rPr>
          <w:rFonts w:ascii="Arial" w:hAnsi="Arial"/>
        </w:rPr>
        <w:t xml:space="preserve">El servicio del negocio inyecta la interfaz </w:t>
      </w:r>
      <w:r>
        <w:rPr>
          <w:rFonts w:ascii="Consolas" w:hAnsi="Consolas"/>
          <w:sz w:val="19"/>
        </w:rPr>
        <w:t>MailService</w:t>
      </w:r>
      <w:r>
        <w:rPr>
          <w:rFonts w:ascii="Arial" w:hAnsi="Arial"/>
        </w:rPr>
        <w:t xml:space="preserve">, no la clase </w:t>
      </w:r>
      <w:r>
        <w:rPr>
          <w:rFonts w:ascii="Consolas" w:hAnsi="Consolas"/>
          <w:sz w:val="19"/>
        </w:rPr>
        <w:t>SmtpMailService</w:t>
      </w:r>
      <w:r>
        <w:rPr>
          <w:rFonts w:ascii="Arial" w:hAnsi="Arial"/>
        </w:rPr>
        <w:t>:</w:t>
      </w:r>
    </w:p>
    <w:p>
      <w:pPr>
        <w:spacing w:before="80" w:after="200"/>
        <w:ind w:left="173"/>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1A1A1A"/>
          <w:sz w:val="18"/>
        </w:rPr>
        <w:t>private final MailService mailService;</w:t>
        <w:br/>
      </w:r>
      <w:r>
        <w:rPr>
          <w:rFonts w:ascii="Consolas" w:hAnsi="Consolas"/>
          <w:color w:val="1A1A1A"/>
          <w:sz w:val="18"/>
        </w:rPr>
        <w:t xml:space="preserve"> </w:t>
        <w:br/>
      </w:r>
      <w:r>
        <w:rPr>
          <w:rFonts w:ascii="Consolas" w:hAnsi="Consolas"/>
          <w:color w:val="1A1A1A"/>
          <w:sz w:val="18"/>
        </w:rPr>
        <w:t>mailService.sendHtml(HtmlMailMessage.to(</w:t>
        <w:br/>
      </w:r>
      <w:r>
        <w:rPr>
          <w:rFonts w:ascii="Consolas" w:hAnsi="Consolas"/>
          <w:color w:val="1A1A1A"/>
          <w:sz w:val="18"/>
        </w:rPr>
        <w:t xml:space="preserve">        user.getEmail(),</w:t>
        <w:br/>
      </w:r>
      <w:r>
        <w:rPr>
          <w:rFonts w:ascii="Consolas" w:hAnsi="Consolas"/>
          <w:color w:val="1A1A1A"/>
          <w:sz w:val="18"/>
        </w:rPr>
        <w:t xml:space="preserve">        "Asunto visible para el usuario",</w:t>
        <w:br/>
      </w:r>
      <w:r>
        <w:rPr>
          <w:rFonts w:ascii="Consolas" w:hAnsi="Consolas"/>
          <w:color w:val="1A1A1A"/>
          <w:sz w:val="18"/>
        </w:rPr>
        <w:t xml:space="preserve">        "mail/verification-code.html",</w:t>
        <w:br/>
      </w:r>
      <w:r>
        <w:rPr>
          <w:rFonts w:ascii="Consolas" w:hAnsi="Consolas"/>
          <w:color w:val="1A1A1A"/>
          <w:sz w:val="18"/>
        </w:rPr>
        <w:t xml:space="preserve">        Map.of("name", fullName, "code", visibleCode)));</w:t>
      </w:r>
    </w:p>
    <w:p>
      <w:pPr>
        <w:spacing w:after="120" w:line="269" w:lineRule="auto"/>
      </w:pPr>
      <w:r>
        <w:rPr>
          <w:rFonts w:ascii="Arial" w:hAnsi="Arial"/>
        </w:rPr>
        <w:t>El código anterior ilustra el contrato común. Los nombres definitivos de entidades y accesores se adaptan al modelo implementado. El código o token visible solo vive el tiempo necesario para formar el correo; la base de datos conserva su hash.</w:t>
      </w:r>
    </w:p>
    <w:p>
      <w:pPr>
        <w:spacing w:before="240" w:after="100"/>
      </w:pPr>
      <w:r>
        <w:rPr>
          <w:rFonts w:ascii="Arial" w:hAnsi="Arial"/>
          <w:b/>
          <w:color w:val="0A2F62"/>
          <w:sz w:val="28"/>
        </w:rPr>
        <w:t>Reglas por historia</w:t>
      </w:r>
    </w:p>
    <w:p>
      <w:pPr>
        <w:spacing w:before="160" w:after="80"/>
      </w:pPr>
      <w:r>
        <w:rPr>
          <w:rFonts w:ascii="Arial" w:hAnsi="Arial"/>
          <w:b/>
          <w:color w:val="B42323"/>
          <w:sz w:val="23"/>
        </w:rPr>
        <w:t>HU-002 — Crear cuenta</w:t>
      </w:r>
    </w:p>
    <w:p>
      <w:pPr>
        <w:spacing w:after="120" w:line="269" w:lineRule="auto"/>
        <w:ind w:left="317"/>
      </w:pPr>
      <w:r>
        <w:rPr>
          <w:rFonts w:ascii="Arial" w:hAnsi="Arial"/>
        </w:rPr>
        <w:t>•  Después de guardar la cuenta, el rol y el hash del código, enviar el código al correo registrado.</w:t>
      </w:r>
    </w:p>
    <w:p>
      <w:pPr>
        <w:spacing w:after="120" w:line="269" w:lineRule="auto"/>
        <w:ind w:left="317"/>
      </w:pPr>
      <w:r>
        <w:rPr>
          <w:rFonts w:ascii="Arial" w:hAnsi="Arial"/>
        </w:rPr>
        <w:t xml:space="preserve">•  Empezar el registro de emisión con </w:t>
      </w:r>
      <w:r>
        <w:rPr>
          <w:rFonts w:ascii="Consolas" w:hAnsi="Consolas"/>
          <w:sz w:val="19"/>
        </w:rPr>
        <w:t>estado_envio = 'PENDIENTE'</w:t>
      </w:r>
      <w:r>
        <w:rPr>
          <w:rFonts w:ascii="Arial" w:hAnsi="Arial"/>
        </w:rPr>
        <w:t xml:space="preserve"> y cambiarlo a </w:t>
      </w:r>
      <w:r>
        <w:rPr>
          <w:rFonts w:ascii="Consolas" w:hAnsi="Consolas"/>
          <w:sz w:val="19"/>
        </w:rPr>
        <w:t>ENVIADO</w:t>
      </w:r>
      <w:r>
        <w:rPr>
          <w:rFonts w:ascii="Arial" w:hAnsi="Arial"/>
        </w:rPr>
        <w:t xml:space="preserve"> cuando el servidor acepte el mensaje.</w:t>
      </w:r>
    </w:p>
    <w:p>
      <w:pPr>
        <w:spacing w:after="120" w:line="269" w:lineRule="auto"/>
        <w:ind w:left="317"/>
      </w:pPr>
      <w:r>
        <w:rPr>
          <w:rFonts w:ascii="Arial" w:hAnsi="Arial"/>
        </w:rPr>
        <w:t xml:space="preserve">•  Si el envío lanza </w:t>
      </w:r>
      <w:r>
        <w:rPr>
          <w:rFonts w:ascii="Consolas" w:hAnsi="Consolas"/>
          <w:sz w:val="19"/>
        </w:rPr>
        <w:t>MailDeliveryException</w:t>
      </w:r>
      <w:r>
        <w:rPr>
          <w:rFonts w:ascii="Arial" w:hAnsi="Arial"/>
        </w:rPr>
        <w:t xml:space="preserve">, conservar la cuenta con correo pendiente, marcar la emisión como </w:t>
      </w:r>
      <w:r>
        <w:rPr>
          <w:rFonts w:ascii="Consolas" w:hAnsi="Consolas"/>
          <w:sz w:val="19"/>
        </w:rPr>
        <w:t>ERROR</w:t>
      </w:r>
      <w:r>
        <w:rPr>
          <w:rFonts w:ascii="Arial" w:hAnsi="Arial"/>
        </w:rPr>
        <w:t xml:space="preserve"> e invalidar el código que no fue entregado. La respuesta orienta a HU-003, donde la persona puede solicitar otro envío.</w:t>
      </w:r>
    </w:p>
    <w:p>
      <w:pPr>
        <w:spacing w:after="120" w:line="269" w:lineRule="auto"/>
        <w:ind w:left="317"/>
      </w:pPr>
      <w:r>
        <w:rPr>
          <w:rFonts w:ascii="Arial" w:hAnsi="Arial"/>
        </w:rPr>
        <w:t>•  La respuesta de registro nunca incluye el código.</w:t>
      </w:r>
    </w:p>
    <w:p>
      <w:pPr>
        <w:spacing w:before="160" w:after="80"/>
      </w:pPr>
      <w:r>
        <w:rPr>
          <w:rFonts w:ascii="Arial" w:hAnsi="Arial"/>
          <w:b/>
          <w:color w:val="B42323"/>
          <w:sz w:val="23"/>
        </w:rPr>
        <w:t>HU-003 — Verificar y reenviar</w:t>
      </w:r>
    </w:p>
    <w:p>
      <w:pPr>
        <w:spacing w:after="120" w:line="269" w:lineRule="auto"/>
        <w:ind w:left="317"/>
      </w:pPr>
      <w:r>
        <w:rPr>
          <w:rFonts w:ascii="Arial" w:hAnsi="Arial"/>
        </w:rPr>
        <w:t>•  La confirmación de un código no envía correo.</w:t>
      </w:r>
    </w:p>
    <w:p>
      <w:pPr>
        <w:spacing w:after="120" w:line="269" w:lineRule="auto"/>
        <w:ind w:left="317"/>
      </w:pPr>
      <w:r>
        <w:rPr>
          <w:rFonts w:ascii="Arial" w:hAnsi="Arial"/>
        </w:rPr>
        <w:t xml:space="preserve">•  El reenvío invalida los códigos anteriores, genera uno nuevo y lo envía con </w:t>
      </w:r>
      <w:r>
        <w:rPr>
          <w:rFonts w:ascii="Consolas" w:hAnsi="Consolas"/>
          <w:sz w:val="19"/>
        </w:rPr>
        <w:t>mail/verification-code.html</w:t>
      </w:r>
      <w:r>
        <w:rPr>
          <w:rFonts w:ascii="Arial" w:hAnsi="Arial"/>
        </w:rPr>
        <w:t>.</w:t>
      </w:r>
    </w:p>
    <w:p>
      <w:pPr>
        <w:spacing w:after="120" w:line="269" w:lineRule="auto"/>
        <w:ind w:left="317"/>
      </w:pPr>
      <w:r>
        <w:rPr>
          <w:rFonts w:ascii="Arial" w:hAnsi="Arial"/>
        </w:rPr>
        <w:t xml:space="preserve">•  Solicitar el reenvío invalida los códigos anteriores. Si falla el nuevo envío, marcar la nueva emisión como </w:t>
      </w:r>
      <w:r>
        <w:rPr>
          <w:rFonts w:ascii="Consolas" w:hAnsi="Consolas"/>
          <w:sz w:val="19"/>
        </w:rPr>
        <w:t>ERROR</w:t>
      </w:r>
      <w:r>
        <w:rPr>
          <w:rFonts w:ascii="Arial" w:hAnsi="Arial"/>
        </w:rPr>
        <w:t xml:space="preserve"> e invalidarla también; la cuenta continúa pendiente y permite otro reenvío.</w:t>
      </w:r>
    </w:p>
    <w:p>
      <w:pPr>
        <w:spacing w:after="120" w:line="269" w:lineRule="auto"/>
        <w:ind w:left="317"/>
      </w:pPr>
      <w:r>
        <w:rPr>
          <w:rFonts w:ascii="Arial" w:hAnsi="Arial"/>
        </w:rPr>
        <w:t>•  La API devuelve aceptación o error, pero nunca devuelve el código visible.</w:t>
      </w:r>
    </w:p>
    <w:p>
      <w:pPr>
        <w:spacing w:before="160" w:after="80"/>
      </w:pPr>
      <w:r>
        <w:rPr>
          <w:rFonts w:ascii="Arial" w:hAnsi="Arial"/>
          <w:b/>
          <w:color w:val="B42323"/>
          <w:sz w:val="23"/>
        </w:rPr>
        <w:t>HU-004 — Recuperar acceso</w:t>
      </w:r>
    </w:p>
    <w:p>
      <w:pPr>
        <w:spacing w:after="120" w:line="269" w:lineRule="auto"/>
        <w:ind w:left="317"/>
      </w:pPr>
      <w:r>
        <w:rPr>
          <w:rFonts w:ascii="Arial" w:hAnsi="Arial"/>
        </w:rPr>
        <w:t xml:space="preserve">•  Generar un token aleatorio, guardar únicamente su hash y construir una URL hacia </w:t>
      </w:r>
      <w:r>
        <w:rPr>
          <w:rFonts w:ascii="Consolas" w:hAnsi="Consolas"/>
          <w:sz w:val="19"/>
        </w:rPr>
        <w:t>/nueva-password?token=...</w:t>
      </w:r>
      <w:r>
        <w:rPr>
          <w:rFonts w:ascii="Arial" w:hAnsi="Arial"/>
        </w:rPr>
        <w:t>.</w:t>
      </w:r>
    </w:p>
    <w:p>
      <w:pPr>
        <w:spacing w:after="120" w:line="269" w:lineRule="auto"/>
        <w:ind w:left="317"/>
      </w:pPr>
      <w:r>
        <w:rPr>
          <w:rFonts w:ascii="Arial" w:hAnsi="Arial"/>
        </w:rPr>
        <w:t xml:space="preserve">•  La URL base del frontend se agrega a </w:t>
      </w:r>
      <w:r>
        <w:rPr>
          <w:rFonts w:ascii="Consolas" w:hAnsi="Consolas"/>
          <w:sz w:val="19"/>
        </w:rPr>
        <w:t>application.properties</w:t>
      </w:r>
      <w:r>
        <w:rPr>
          <w:rFonts w:ascii="Arial" w:hAnsi="Arial"/>
        </w:rPr>
        <w:t xml:space="preserve"> cuando se implemente HU-004 y se consume desde una clase de configuración; no se escribe directamente dentro del servicio.</w:t>
      </w:r>
    </w:p>
    <w:p>
      <w:pPr>
        <w:spacing w:after="120" w:line="269" w:lineRule="auto"/>
        <w:ind w:left="317"/>
      </w:pPr>
      <w:r>
        <w:rPr>
          <w:rFonts w:ascii="Arial" w:hAnsi="Arial"/>
        </w:rPr>
        <w:t xml:space="preserve">•  Enviar el enlace mediante </w:t>
      </w:r>
      <w:r>
        <w:rPr>
          <w:rFonts w:ascii="Consolas" w:hAnsi="Consolas"/>
          <w:sz w:val="19"/>
        </w:rPr>
        <w:t>mail/password-recovery.html</w:t>
      </w:r>
      <w:r>
        <w:rPr>
          <w:rFonts w:ascii="Arial" w:hAnsi="Arial"/>
        </w:rPr>
        <w:t>.</w:t>
      </w:r>
    </w:p>
    <w:p>
      <w:pPr>
        <w:spacing w:after="120" w:line="269" w:lineRule="auto"/>
        <w:ind w:left="317"/>
      </w:pPr>
      <w:r>
        <w:rPr>
          <w:rFonts w:ascii="Arial" w:hAnsi="Arial"/>
        </w:rPr>
        <w:t xml:space="preserve">•  La API siempre conserva la misma respuesta </w:t>
      </w:r>
      <w:r>
        <w:rPr>
          <w:rFonts w:ascii="Consolas" w:hAnsi="Consolas"/>
          <w:sz w:val="19"/>
        </w:rPr>
        <w:t>202</w:t>
      </w:r>
      <w:r>
        <w:rPr>
          <w:rFonts w:ascii="Arial" w:hAnsi="Arial"/>
        </w:rPr>
        <w:t>, exista o no la cuenta. Un fallo SMTP tampoco debe revelar que el correo está registrado.</w:t>
      </w:r>
    </w:p>
    <w:p>
      <w:pPr>
        <w:spacing w:after="120" w:line="269" w:lineRule="auto"/>
        <w:ind w:left="317"/>
      </w:pPr>
      <w:r>
        <w:rPr>
          <w:rFonts w:ascii="Arial" w:hAnsi="Arial"/>
        </w:rPr>
        <w:t xml:space="preserve">•  Si falla la entrega, registrar </w:t>
      </w:r>
      <w:r>
        <w:rPr>
          <w:rFonts w:ascii="Consolas" w:hAnsi="Consolas"/>
          <w:sz w:val="19"/>
        </w:rPr>
        <w:t>estado_envio = 'ERROR'</w:t>
      </w:r>
      <w:r>
        <w:rPr>
          <w:rFonts w:ascii="Arial" w:hAnsi="Arial"/>
        </w:rPr>
        <w:t xml:space="preserve"> y conservar la respuesta neutral. El token fallido no debe presentarse en la API, interfaz ni logs.</w:t>
      </w:r>
    </w:p>
    <w:p>
      <w:pPr>
        <w:spacing w:before="240" w:after="100"/>
      </w:pPr>
      <w:r>
        <w:rPr>
          <w:rFonts w:ascii="Arial" w:hAnsi="Arial"/>
          <w:b/>
          <w:color w:val="0A2F62"/>
          <w:sz w:val="28"/>
        </w:rPr>
        <w:t>Reutilización en historias posteriores</w:t>
      </w:r>
    </w:p>
    <w:p>
      <w:pPr>
        <w:spacing w:after="120" w:line="269" w:lineRule="auto"/>
      </w:pPr>
      <w:r>
        <w:rPr>
          <w:rFonts w:ascii="Arial" w:hAnsi="Arial"/>
        </w:rPr>
        <w:t xml:space="preserve">Cuando se elaboren los mapas técnicos de las siguientes épicas, estas historias deben reutilizar el mismo </w:t>
      </w:r>
      <w:r>
        <w:rPr>
          <w:rFonts w:ascii="Consolas" w:hAnsi="Consolas"/>
          <w:sz w:val="19"/>
        </w:rPr>
        <w:t>MailService</w:t>
      </w:r>
      <w:r>
        <w:rPr>
          <w:rFonts w:ascii="Arial" w:hAnsi="Arial"/>
        </w:rPr>
        <w:t>. La regla funcional de cada historia determina si un fallo revierte o no la operación principal:</w:t>
      </w:r>
    </w:p>
    <w:tbl>
      <w:tblPr>
        <w:tblW w:type="auto" w:w="0"/>
        <w:jc w:val="center"/>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35"/>
        <w:gridCol w:w="3135"/>
        <w:gridCol w:w="3135"/>
      </w:tblGrid>
      <w:tr>
        <w:tc>
          <w:tcPr>
            <w:tcW w:type="dxa" w:w="3135"/>
            <w:shd w:val="clear" w:color="auto" w:fill="0A2F62"/>
          </w:tcPr>
          <w:p>
            <w:r>
              <w:rPr>
                <w:b/>
                <w:color w:val="FFFFFF"/>
                <w:sz w:val="19"/>
              </w:rPr>
            </w:r>
            <w:r>
              <w:rPr>
                <w:rFonts w:ascii="Arial" w:hAnsi="Arial"/>
                <w:b/>
                <w:color w:val="FFFFFF"/>
                <w:sz w:val="19"/>
              </w:rPr>
              <w:t>Historia</w:t>
            </w:r>
          </w:p>
        </w:tc>
        <w:tc>
          <w:tcPr>
            <w:tcW w:type="dxa" w:w="3135"/>
            <w:shd w:val="clear" w:color="auto" w:fill="0A2F62"/>
          </w:tcPr>
          <w:p>
            <w:r>
              <w:rPr>
                <w:b/>
                <w:color w:val="FFFFFF"/>
                <w:sz w:val="19"/>
              </w:rPr>
            </w:r>
            <w:r>
              <w:rPr>
                <w:rFonts w:ascii="Arial" w:hAnsi="Arial"/>
                <w:b/>
                <w:color w:val="FFFFFF"/>
                <w:sz w:val="19"/>
              </w:rPr>
              <w:t>Correo</w:t>
            </w:r>
          </w:p>
        </w:tc>
        <w:tc>
          <w:tcPr>
            <w:tcW w:type="dxa" w:w="3135"/>
            <w:shd w:val="clear" w:color="auto" w:fill="0A2F62"/>
          </w:tcPr>
          <w:p>
            <w:r>
              <w:rPr>
                <w:b/>
                <w:color w:val="FFFFFF"/>
                <w:sz w:val="19"/>
              </w:rPr>
            </w:r>
            <w:r>
              <w:rPr>
                <w:rFonts w:ascii="Arial" w:hAnsi="Arial"/>
                <w:b/>
                <w:color w:val="FFFFFF"/>
                <w:sz w:val="19"/>
              </w:rPr>
              <w:t>Comportamiento ante fallo</w:t>
            </w:r>
          </w:p>
        </w:tc>
      </w:tr>
      <w:tr>
        <w:tc>
          <w:tcPr>
            <w:tcW w:type="dxa" w:w="3135"/>
          </w:tcPr>
          <w:p>
            <w:r>
              <w:rPr>
                <w:sz w:val="19"/>
              </w:rPr>
            </w:r>
            <w:r>
              <w:rPr>
                <w:rFonts w:ascii="Arial" w:hAnsi="Arial"/>
                <w:sz w:val="19"/>
              </w:rPr>
              <w:t>HU-008</w:t>
            </w:r>
          </w:p>
        </w:tc>
        <w:tc>
          <w:tcPr>
            <w:tcW w:type="dxa" w:w="3135"/>
          </w:tcPr>
          <w:p>
            <w:r>
              <w:rPr>
                <w:sz w:val="19"/>
              </w:rPr>
            </w:r>
            <w:r>
              <w:rPr>
                <w:rFonts w:ascii="Arial" w:hAnsi="Arial"/>
                <w:sz w:val="19"/>
              </w:rPr>
              <w:t>Bienvenida, contraseña temporal y código</w:t>
            </w:r>
          </w:p>
        </w:tc>
        <w:tc>
          <w:tcPr>
            <w:tcW w:type="dxa" w:w="3135"/>
          </w:tcPr>
          <w:p>
            <w:r>
              <w:rPr>
                <w:sz w:val="19"/>
              </w:rPr>
            </w:r>
            <w:r>
              <w:rPr>
                <w:rFonts w:ascii="Arial" w:hAnsi="Arial"/>
                <w:sz w:val="19"/>
              </w:rPr>
              <w:t>Conserva la cuenta restringida y permite reenvío</w:t>
            </w:r>
          </w:p>
        </w:tc>
      </w:tr>
      <w:tr>
        <w:tc>
          <w:tcPr>
            <w:tcW w:type="dxa" w:w="3135"/>
          </w:tcPr>
          <w:p>
            <w:r>
              <w:rPr>
                <w:sz w:val="19"/>
              </w:rPr>
            </w:r>
            <w:r>
              <w:rPr>
                <w:rFonts w:ascii="Arial" w:hAnsi="Arial"/>
                <w:sz w:val="19"/>
              </w:rPr>
              <w:t>HU-017</w:t>
            </w:r>
          </w:p>
        </w:tc>
        <w:tc>
          <w:tcPr>
            <w:tcW w:type="dxa" w:w="3135"/>
          </w:tcPr>
          <w:p>
            <w:r>
              <w:rPr>
                <w:sz w:val="19"/>
              </w:rPr>
            </w:r>
            <w:r>
              <w:rPr>
                <w:rFonts w:ascii="Arial" w:hAnsi="Arial"/>
                <w:sz w:val="19"/>
              </w:rPr>
              <w:t>Confirmación de matrícula gratuita</w:t>
            </w:r>
          </w:p>
        </w:tc>
        <w:tc>
          <w:tcPr>
            <w:tcW w:type="dxa" w:w="3135"/>
          </w:tcPr>
          <w:p>
            <w:r>
              <w:rPr>
                <w:sz w:val="19"/>
              </w:rPr>
            </w:r>
            <w:r>
              <w:rPr>
                <w:rFonts w:ascii="Arial" w:hAnsi="Arial"/>
                <w:sz w:val="19"/>
              </w:rPr>
              <w:t>No revierte matrícula ni libera cupo</w:t>
            </w:r>
          </w:p>
        </w:tc>
      </w:tr>
      <w:tr>
        <w:tc>
          <w:tcPr>
            <w:tcW w:type="dxa" w:w="3135"/>
          </w:tcPr>
          <w:p>
            <w:r>
              <w:rPr>
                <w:sz w:val="19"/>
              </w:rPr>
            </w:r>
            <w:r>
              <w:rPr>
                <w:rFonts w:ascii="Arial" w:hAnsi="Arial"/>
                <w:sz w:val="19"/>
              </w:rPr>
              <w:t>HU-018</w:t>
            </w:r>
          </w:p>
        </w:tc>
        <w:tc>
          <w:tcPr>
            <w:tcW w:type="dxa" w:w="3135"/>
          </w:tcPr>
          <w:p>
            <w:r>
              <w:rPr>
                <w:sz w:val="19"/>
              </w:rPr>
            </w:r>
            <w:r>
              <w:rPr>
                <w:rFonts w:ascii="Arial" w:hAnsi="Arial"/>
                <w:sz w:val="19"/>
              </w:rPr>
              <w:t>Resultado del pago y acceso</w:t>
            </w:r>
          </w:p>
        </w:tc>
        <w:tc>
          <w:tcPr>
            <w:tcW w:type="dxa" w:w="3135"/>
          </w:tcPr>
          <w:p>
            <w:r>
              <w:rPr>
                <w:sz w:val="19"/>
              </w:rPr>
            </w:r>
            <w:r>
              <w:rPr>
                <w:rFonts w:ascii="Arial" w:hAnsi="Arial"/>
                <w:sz w:val="19"/>
              </w:rPr>
              <w:t>No cambia el resultado de Culqi ni duplica el pago</w:t>
            </w:r>
          </w:p>
        </w:tc>
      </w:tr>
      <w:tr>
        <w:tc>
          <w:tcPr>
            <w:tcW w:type="dxa" w:w="3135"/>
          </w:tcPr>
          <w:p>
            <w:r>
              <w:rPr>
                <w:sz w:val="19"/>
              </w:rPr>
            </w:r>
            <w:r>
              <w:rPr>
                <w:rFonts w:ascii="Arial" w:hAnsi="Arial"/>
                <w:sz w:val="19"/>
              </w:rPr>
              <w:t>HU-019</w:t>
            </w:r>
          </w:p>
        </w:tc>
        <w:tc>
          <w:tcPr>
            <w:tcW w:type="dxa" w:w="3135"/>
          </w:tcPr>
          <w:p>
            <w:r>
              <w:rPr>
                <w:sz w:val="19"/>
              </w:rPr>
            </w:r>
            <w:r>
              <w:rPr>
                <w:rFonts w:ascii="Arial" w:hAnsi="Arial"/>
                <w:sz w:val="19"/>
              </w:rPr>
              <w:t>Instrucciones de cuenta nueva y confirmación administrativa</w:t>
            </w:r>
          </w:p>
        </w:tc>
        <w:tc>
          <w:tcPr>
            <w:tcW w:type="dxa" w:w="3135"/>
          </w:tcPr>
          <w:p>
            <w:r>
              <w:rPr>
                <w:sz w:val="19"/>
              </w:rPr>
            </w:r>
            <w:r>
              <w:rPr>
                <w:rFonts w:ascii="Arial" w:hAnsi="Arial"/>
                <w:sz w:val="19"/>
              </w:rPr>
              <w:t>Conserva cuenta y matrícula según su estado; permite reenvío</w:t>
            </w:r>
          </w:p>
        </w:tc>
      </w:tr>
      <w:tr>
        <w:tc>
          <w:tcPr>
            <w:tcW w:type="dxa" w:w="3135"/>
          </w:tcPr>
          <w:p>
            <w:r>
              <w:rPr>
                <w:sz w:val="19"/>
              </w:rPr>
            </w:r>
            <w:r>
              <w:rPr>
                <w:rFonts w:ascii="Arial" w:hAnsi="Arial"/>
                <w:sz w:val="19"/>
              </w:rPr>
              <w:t>HU-027</w:t>
            </w:r>
          </w:p>
        </w:tc>
        <w:tc>
          <w:tcPr>
            <w:tcW w:type="dxa" w:w="3135"/>
          </w:tcPr>
          <w:p>
            <w:r>
              <w:rPr>
                <w:sz w:val="19"/>
              </w:rPr>
            </w:r>
            <w:r>
              <w:rPr>
                <w:rFonts w:ascii="Arial" w:hAnsi="Arial"/>
                <w:sz w:val="19"/>
              </w:rPr>
              <w:t>Reprogramación o cancelación de sesión</w:t>
            </w:r>
          </w:p>
        </w:tc>
        <w:tc>
          <w:tcPr>
            <w:tcW w:type="dxa" w:w="3135"/>
          </w:tcPr>
          <w:p>
            <w:r>
              <w:rPr>
                <w:sz w:val="19"/>
              </w:rPr>
            </w:r>
            <w:r>
              <w:rPr>
                <w:rFonts w:ascii="Arial" w:hAnsi="Arial"/>
                <w:sz w:val="19"/>
              </w:rPr>
              <w:t>No revierte el cambio; permite reenviar el aviso</w:t>
            </w:r>
          </w:p>
        </w:tc>
      </w:tr>
      <w:tr>
        <w:tc>
          <w:tcPr>
            <w:tcW w:type="dxa" w:w="3135"/>
          </w:tcPr>
          <w:p>
            <w:r>
              <w:rPr>
                <w:sz w:val="19"/>
              </w:rPr>
            </w:r>
            <w:r>
              <w:rPr>
                <w:rFonts w:ascii="Arial" w:hAnsi="Arial"/>
                <w:sz w:val="19"/>
              </w:rPr>
              <w:t>HU-030</w:t>
            </w:r>
          </w:p>
        </w:tc>
        <w:tc>
          <w:tcPr>
            <w:tcW w:type="dxa" w:w="3135"/>
          </w:tcPr>
          <w:p>
            <w:r>
              <w:rPr>
                <w:sz w:val="19"/>
              </w:rPr>
            </w:r>
            <w:r>
              <w:rPr>
                <w:rFonts w:ascii="Arial" w:hAnsi="Arial"/>
                <w:sz w:val="19"/>
              </w:rPr>
              <w:t>Examen de respuesta abierta calificado</w:t>
            </w:r>
          </w:p>
        </w:tc>
        <w:tc>
          <w:tcPr>
            <w:tcW w:type="dxa" w:w="3135"/>
          </w:tcPr>
          <w:p>
            <w:r>
              <w:rPr>
                <w:sz w:val="19"/>
              </w:rPr>
            </w:r>
            <w:r>
              <w:rPr>
                <w:rFonts w:ascii="Arial" w:hAnsi="Arial"/>
                <w:sz w:val="19"/>
              </w:rPr>
              <w:t>No revierte la nota ni el estado calificado</w:t>
            </w:r>
          </w:p>
        </w:tc>
      </w:tr>
      <w:tr>
        <w:tc>
          <w:tcPr>
            <w:tcW w:type="dxa" w:w="3135"/>
          </w:tcPr>
          <w:p>
            <w:r>
              <w:rPr>
                <w:sz w:val="19"/>
              </w:rPr>
            </w:r>
            <w:r>
              <w:rPr>
                <w:rFonts w:ascii="Arial" w:hAnsi="Arial"/>
                <w:sz w:val="19"/>
              </w:rPr>
              <w:t>HU-032</w:t>
            </w:r>
          </w:p>
        </w:tc>
        <w:tc>
          <w:tcPr>
            <w:tcW w:type="dxa" w:w="3135"/>
          </w:tcPr>
          <w:p>
            <w:r>
              <w:rPr>
                <w:sz w:val="19"/>
              </w:rPr>
            </w:r>
            <w:r>
              <w:rPr>
                <w:rFonts w:ascii="Arial" w:hAnsi="Arial"/>
                <w:sz w:val="19"/>
              </w:rPr>
              <w:t>Solicitud de datos y certificado disponible</w:t>
            </w:r>
          </w:p>
        </w:tc>
        <w:tc>
          <w:tcPr>
            <w:tcW w:type="dxa" w:w="3135"/>
          </w:tcPr>
          <w:p>
            <w:r>
              <w:rPr>
                <w:sz w:val="19"/>
              </w:rPr>
            </w:r>
            <w:r>
              <w:rPr>
                <w:rFonts w:ascii="Arial" w:hAnsi="Arial"/>
                <w:sz w:val="19"/>
              </w:rPr>
              <w:t>No elimina el certificado ni reabre evaluaciones</w:t>
            </w:r>
          </w:p>
        </w:tc>
      </w:tr>
      <w:tr>
        <w:tc>
          <w:tcPr>
            <w:tcW w:type="dxa" w:w="3135"/>
          </w:tcPr>
          <w:p>
            <w:r>
              <w:rPr>
                <w:sz w:val="19"/>
              </w:rPr>
            </w:r>
            <w:r>
              <w:rPr>
                <w:rFonts w:ascii="Arial" w:hAnsi="Arial"/>
                <w:sz w:val="19"/>
              </w:rPr>
              <w:t>HU-035</w:t>
            </w:r>
          </w:p>
        </w:tc>
        <w:tc>
          <w:tcPr>
            <w:tcW w:type="dxa" w:w="3135"/>
          </w:tcPr>
          <w:p>
            <w:r>
              <w:rPr>
                <w:sz w:val="19"/>
              </w:rPr>
            </w:r>
            <w:r>
              <w:rPr>
                <w:rFonts w:ascii="Arial" w:hAnsi="Arial"/>
                <w:sz w:val="19"/>
              </w:rPr>
              <w:t>Certificado emitido manualmente</w:t>
            </w:r>
          </w:p>
        </w:tc>
        <w:tc>
          <w:tcPr>
            <w:tcW w:type="dxa" w:w="3135"/>
          </w:tcPr>
          <w:p>
            <w:r>
              <w:rPr>
                <w:sz w:val="19"/>
              </w:rPr>
            </w:r>
            <w:r>
              <w:rPr>
                <w:rFonts w:ascii="Arial" w:hAnsi="Arial"/>
                <w:sz w:val="19"/>
              </w:rPr>
              <w:t>No revierte la emisión ni crea otro certificado</w:t>
            </w:r>
          </w:p>
        </w:tc>
      </w:tr>
      <w:tr>
        <w:tc>
          <w:tcPr>
            <w:tcW w:type="dxa" w:w="3135"/>
          </w:tcPr>
          <w:p>
            <w:r>
              <w:rPr>
                <w:sz w:val="19"/>
              </w:rPr>
            </w:r>
            <w:r>
              <w:rPr>
                <w:rFonts w:ascii="Arial" w:hAnsi="Arial"/>
                <w:sz w:val="19"/>
              </w:rPr>
              <w:t>HU-038</w:t>
            </w:r>
          </w:p>
        </w:tc>
        <w:tc>
          <w:tcPr>
            <w:tcW w:type="dxa" w:w="3135"/>
          </w:tcPr>
          <w:p>
            <w:r>
              <w:rPr>
                <w:sz w:val="19"/>
              </w:rPr>
            </w:r>
            <w:r>
              <w:rPr>
                <w:rFonts w:ascii="Arial" w:hAnsi="Arial"/>
                <w:sz w:val="19"/>
              </w:rPr>
              <w:t>Cancelación consolidada de curso</w:t>
            </w:r>
          </w:p>
        </w:tc>
        <w:tc>
          <w:tcPr>
            <w:tcW w:type="dxa" w:w="3135"/>
          </w:tcPr>
          <w:p>
            <w:r>
              <w:rPr>
                <w:sz w:val="19"/>
              </w:rPr>
            </w:r>
            <w:r>
              <w:rPr>
                <w:rFonts w:ascii="Arial" w:hAnsi="Arial"/>
                <w:sz w:val="19"/>
              </w:rPr>
              <w:t>No revierte la cancelación; se envía uno por curso y afectado</w:t>
            </w:r>
          </w:p>
        </w:tc>
      </w:tr>
      <w:tr>
        <w:tc>
          <w:tcPr>
            <w:tcW w:type="dxa" w:w="3135"/>
          </w:tcPr>
          <w:p>
            <w:r>
              <w:rPr>
                <w:sz w:val="19"/>
              </w:rPr>
            </w:r>
            <w:r>
              <w:rPr>
                <w:rFonts w:ascii="Arial" w:hAnsi="Arial"/>
                <w:sz w:val="19"/>
              </w:rPr>
              <w:t>HU-039</w:t>
            </w:r>
          </w:p>
        </w:tc>
        <w:tc>
          <w:tcPr>
            <w:tcW w:type="dxa" w:w="3135"/>
          </w:tcPr>
          <w:p>
            <w:r>
              <w:rPr>
                <w:sz w:val="19"/>
              </w:rPr>
            </w:r>
            <w:r>
              <w:rPr>
                <w:rFonts w:ascii="Arial" w:hAnsi="Arial"/>
                <w:sz w:val="19"/>
              </w:rPr>
              <w:t>Constancia de queja o reclamo</w:t>
            </w:r>
          </w:p>
        </w:tc>
        <w:tc>
          <w:tcPr>
            <w:tcW w:type="dxa" w:w="3135"/>
          </w:tcPr>
          <w:p>
            <w:r>
              <w:rPr>
                <w:sz w:val="19"/>
              </w:rPr>
            </w:r>
            <w:r>
              <w:rPr>
                <w:rFonts w:ascii="Arial" w:hAnsi="Arial"/>
                <w:sz w:val="19"/>
              </w:rPr>
              <w:t>Conserva el caso registrado y no lo duplica</w:t>
            </w:r>
          </w:p>
        </w:tc>
      </w:tr>
      <w:tr>
        <w:tc>
          <w:tcPr>
            <w:tcW w:type="dxa" w:w="3135"/>
          </w:tcPr>
          <w:p>
            <w:r>
              <w:rPr>
                <w:sz w:val="19"/>
              </w:rPr>
            </w:r>
            <w:r>
              <w:rPr>
                <w:rFonts w:ascii="Arial" w:hAnsi="Arial"/>
                <w:sz w:val="19"/>
              </w:rPr>
              <w:t>HU-040</w:t>
            </w:r>
          </w:p>
        </w:tc>
        <w:tc>
          <w:tcPr>
            <w:tcW w:type="dxa" w:w="3135"/>
          </w:tcPr>
          <w:p>
            <w:r>
              <w:rPr>
                <w:sz w:val="19"/>
              </w:rPr>
            </w:r>
            <w:r>
              <w:rPr>
                <w:rFonts w:ascii="Arial" w:hAnsi="Arial"/>
                <w:sz w:val="19"/>
              </w:rPr>
              <w:t>Respuesta de queja o reclamo</w:t>
            </w:r>
          </w:p>
        </w:tc>
        <w:tc>
          <w:tcPr>
            <w:tcW w:type="dxa" w:w="3135"/>
          </w:tcPr>
          <w:p>
            <w:r>
              <w:rPr>
                <w:sz w:val="19"/>
              </w:rPr>
            </w:r>
            <w:r>
              <w:rPr>
                <w:rFonts w:ascii="Arial" w:hAnsi="Arial"/>
                <w:sz w:val="19"/>
              </w:rPr>
              <w:t xml:space="preserve">Conserva la respuesta, pero no pasa a </w:t>
            </w:r>
            <w:r>
              <w:rPr>
                <w:rFonts w:ascii="Consolas" w:hAnsi="Consolas"/>
                <w:sz w:val="19"/>
              </w:rPr>
              <w:t>RESPONDIDO</w:t>
            </w:r>
            <w:r>
              <w:rPr>
                <w:rFonts w:ascii="Arial" w:hAnsi="Arial"/>
                <w:sz w:val="19"/>
              </w:rPr>
              <w:t xml:space="preserve"> hasta enviar</w:t>
            </w:r>
          </w:p>
        </w:tc>
      </w:tr>
    </w:tbl>
    <w:p>
      <w:pPr>
        <w:spacing w:after="80"/>
      </w:pPr>
    </w:p>
    <w:p>
      <w:pPr>
        <w:spacing w:after="120" w:line="269" w:lineRule="auto"/>
      </w:pPr>
      <w:r>
        <w:rPr>
          <w:rFonts w:ascii="Arial" w:hAnsi="Arial"/>
        </w:rPr>
        <w:t xml:space="preserve">Los envíos para varias personas se procesan como mensajes individuales. Aunque </w:t>
      </w:r>
      <w:r>
        <w:rPr>
          <w:rFonts w:ascii="Consolas" w:hAnsi="Consolas"/>
          <w:sz w:val="19"/>
        </w:rPr>
        <w:t>HtmlMailMessage</w:t>
      </w:r>
      <w:r>
        <w:rPr>
          <w:rFonts w:ascii="Arial" w:hAnsi="Arial"/>
        </w:rPr>
        <w:t xml:space="preserve"> acepta una lista, no debe colocarse a todos los alumnos en un mismo campo </w:t>
      </w:r>
      <w:r>
        <w:rPr>
          <w:rFonts w:ascii="Consolas" w:hAnsi="Consolas"/>
          <w:sz w:val="19"/>
        </w:rPr>
        <w:t>Para</w:t>
      </w:r>
      <w:r>
        <w:rPr>
          <w:rFonts w:ascii="Arial" w:hAnsi="Arial"/>
        </w:rPr>
        <w:t>, porque expondría sus direcciones. Cada mensaje puede reutilizar la misma plantilla y los datos comunes del evento.</w:t>
      </w:r>
    </w:p>
    <w:p>
      <w:pPr>
        <w:spacing w:before="240" w:after="100"/>
      </w:pPr>
      <w:r>
        <w:rPr>
          <w:rFonts w:ascii="Arial" w:hAnsi="Arial"/>
          <w:b/>
          <w:color w:val="0A2F62"/>
          <w:sz w:val="28"/>
        </w:rPr>
        <w:t>Estados de entrega</w:t>
      </w:r>
    </w:p>
    <w:p>
      <w:pPr>
        <w:spacing w:after="120" w:line="269" w:lineRule="auto"/>
      </w:pPr>
      <w:r>
        <w:rPr>
          <w:rFonts w:ascii="Arial" w:hAnsi="Arial"/>
        </w:rPr>
        <w:t xml:space="preserve">Las tablas </w:t>
      </w:r>
      <w:r>
        <w:rPr>
          <w:rFonts w:ascii="Consolas" w:hAnsi="Consolas"/>
          <w:sz w:val="19"/>
        </w:rPr>
        <w:t>codigo_verificacion_correo</w:t>
      </w:r>
      <w:r>
        <w:rPr>
          <w:rFonts w:ascii="Arial" w:hAnsi="Arial"/>
        </w:rPr>
        <w:t xml:space="preserve"> y </w:t>
      </w:r>
      <w:r>
        <w:rPr>
          <w:rFonts w:ascii="Consolas" w:hAnsi="Consolas"/>
          <w:sz w:val="19"/>
        </w:rPr>
        <w:t>token_recuperacion_acceso</w:t>
      </w:r>
      <w:r>
        <w:rPr>
          <w:rFonts w:ascii="Arial" w:hAnsi="Arial"/>
        </w:rPr>
        <w:t xml:space="preserve"> ya poseen </w:t>
      </w:r>
      <w:r>
        <w:rPr>
          <w:rFonts w:ascii="Consolas" w:hAnsi="Consolas"/>
          <w:sz w:val="19"/>
        </w:rPr>
        <w:t>estado_envio</w:t>
      </w:r>
      <w:r>
        <w:rPr>
          <w:rFonts w:ascii="Arial" w:hAnsi="Arial"/>
        </w:rPr>
        <w:t>. Para EP01 se utilizan solamente estos valores:</w:t>
      </w:r>
    </w:p>
    <w:tbl>
      <w:tblPr>
        <w:tblW w:type="auto" w:w="0"/>
        <w:jc w:val="center"/>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703"/>
        <w:gridCol w:w="4703"/>
      </w:tblGrid>
      <w:tr>
        <w:tc>
          <w:tcPr>
            <w:tcW w:type="dxa" w:w="4703"/>
            <w:shd w:val="clear" w:color="auto" w:fill="0A2F62"/>
          </w:tcPr>
          <w:p>
            <w:r>
              <w:rPr>
                <w:b/>
                <w:color w:val="FFFFFF"/>
                <w:sz w:val="19"/>
              </w:rPr>
            </w:r>
            <w:r>
              <w:rPr>
                <w:rFonts w:ascii="Arial" w:hAnsi="Arial"/>
                <w:b/>
                <w:color w:val="FFFFFF"/>
                <w:sz w:val="19"/>
              </w:rPr>
              <w:t>Estado</w:t>
            </w:r>
          </w:p>
        </w:tc>
        <w:tc>
          <w:tcPr>
            <w:tcW w:type="dxa" w:w="4703"/>
            <w:shd w:val="clear" w:color="auto" w:fill="0A2F62"/>
          </w:tcPr>
          <w:p>
            <w:r>
              <w:rPr>
                <w:b/>
                <w:color w:val="FFFFFF"/>
                <w:sz w:val="19"/>
              </w:rPr>
            </w:r>
            <w:r>
              <w:rPr>
                <w:rFonts w:ascii="Arial" w:hAnsi="Arial"/>
                <w:b/>
                <w:color w:val="FFFFFF"/>
                <w:sz w:val="19"/>
              </w:rPr>
              <w:t>Significado</w:t>
            </w:r>
          </w:p>
        </w:tc>
      </w:tr>
      <w:tr>
        <w:tc>
          <w:tcPr>
            <w:tcW w:type="dxa" w:w="4703"/>
          </w:tcPr>
          <w:p>
            <w:r>
              <w:rPr>
                <w:sz w:val="19"/>
              </w:rPr>
            </w:r>
            <w:r>
              <w:rPr>
                <w:rFonts w:ascii="Consolas" w:hAnsi="Consolas"/>
                <w:sz w:val="19"/>
              </w:rPr>
              <w:t>PENDIENTE</w:t>
            </w:r>
          </w:p>
        </w:tc>
        <w:tc>
          <w:tcPr>
            <w:tcW w:type="dxa" w:w="4703"/>
          </w:tcPr>
          <w:p>
            <w:r>
              <w:rPr>
                <w:sz w:val="19"/>
              </w:rPr>
            </w:r>
            <w:r>
              <w:rPr>
                <w:rFonts w:ascii="Arial" w:hAnsi="Arial"/>
                <w:sz w:val="19"/>
              </w:rPr>
              <w:t>El registro fue creado y el intento todavía no concluyó</w:t>
            </w:r>
          </w:p>
        </w:tc>
      </w:tr>
      <w:tr>
        <w:tc>
          <w:tcPr>
            <w:tcW w:type="dxa" w:w="4703"/>
          </w:tcPr>
          <w:p>
            <w:r>
              <w:rPr>
                <w:sz w:val="19"/>
              </w:rPr>
            </w:r>
            <w:r>
              <w:rPr>
                <w:rFonts w:ascii="Consolas" w:hAnsi="Consolas"/>
                <w:sz w:val="19"/>
              </w:rPr>
              <w:t>ENVIADO</w:t>
            </w:r>
          </w:p>
        </w:tc>
        <w:tc>
          <w:tcPr>
            <w:tcW w:type="dxa" w:w="4703"/>
          </w:tcPr>
          <w:p>
            <w:r>
              <w:rPr>
                <w:sz w:val="19"/>
              </w:rPr>
            </w:r>
            <w:r>
              <w:rPr>
                <w:rFonts w:ascii="Arial" w:hAnsi="Arial"/>
                <w:sz w:val="19"/>
              </w:rPr>
              <w:t>El servidor SMTP aceptó el mensaje</w:t>
            </w:r>
          </w:p>
        </w:tc>
      </w:tr>
      <w:tr>
        <w:tc>
          <w:tcPr>
            <w:tcW w:type="dxa" w:w="4703"/>
          </w:tcPr>
          <w:p>
            <w:r>
              <w:rPr>
                <w:sz w:val="19"/>
              </w:rPr>
            </w:r>
            <w:r>
              <w:rPr>
                <w:rFonts w:ascii="Consolas" w:hAnsi="Consolas"/>
                <w:sz w:val="19"/>
              </w:rPr>
              <w:t>ERROR</w:t>
            </w:r>
          </w:p>
        </w:tc>
        <w:tc>
          <w:tcPr>
            <w:tcW w:type="dxa" w:w="4703"/>
          </w:tcPr>
          <w:p>
            <w:r>
              <w:rPr>
                <w:sz w:val="19"/>
              </w:rPr>
            </w:r>
            <w:r>
              <w:rPr>
                <w:rFonts w:ascii="Arial" w:hAnsi="Arial"/>
                <w:sz w:val="19"/>
              </w:rPr>
              <w:t>El intento de entrega falló</w:t>
            </w:r>
          </w:p>
        </w:tc>
      </w:tr>
    </w:tbl>
    <w:p>
      <w:pPr>
        <w:spacing w:after="80"/>
      </w:pPr>
    </w:p>
    <w:p>
      <w:pPr>
        <w:spacing w:after="120" w:line="269" w:lineRule="auto"/>
      </w:pPr>
      <w:r>
        <w:rPr>
          <w:rFonts w:ascii="Consolas" w:hAnsi="Consolas"/>
          <w:sz w:val="19"/>
        </w:rPr>
        <w:t>ENVIADO</w:t>
      </w:r>
      <w:r>
        <w:rPr>
          <w:rFonts w:ascii="Arial" w:hAnsi="Arial"/>
        </w:rPr>
        <w:t xml:space="preserve"> no significa que la persona abrió el correo ni que su proveedor lo colocó en la bandeja principal. No se implementan confirmaciones de lectura, seguimiento de aperturas ni control de rebotes en EP01.</w:t>
      </w:r>
    </w:p>
    <w:p>
      <w:pPr>
        <w:spacing w:before="240" w:after="100"/>
      </w:pPr>
      <w:r>
        <w:rPr>
          <w:rFonts w:ascii="Arial" w:hAnsi="Arial"/>
          <w:b/>
          <w:color w:val="0A2F62"/>
          <w:sz w:val="28"/>
        </w:rPr>
        <w:t>Endpoint manual de prueba</w:t>
      </w:r>
    </w:p>
    <w:p>
      <w:pPr>
        <w:spacing w:after="120" w:line="269" w:lineRule="auto"/>
      </w:pPr>
      <w:r>
        <w:rPr>
          <w:rFonts w:ascii="Consolas" w:hAnsi="Consolas"/>
          <w:sz w:val="19"/>
        </w:rPr>
        <w:t>POST /api/testing/mail</w:t>
      </w:r>
      <w:r>
        <w:rPr>
          <w:rFonts w:ascii="Arial" w:hAnsi="Arial"/>
        </w:rPr>
        <w:t xml:space="preserve"> solo existe con los perfiles </w:t>
      </w:r>
      <w:r>
        <w:rPr>
          <w:rFonts w:ascii="Consolas" w:hAnsi="Consolas"/>
          <w:sz w:val="19"/>
        </w:rPr>
        <w:t>local</w:t>
      </w:r>
      <w:r>
        <w:rPr>
          <w:rFonts w:ascii="Arial" w:hAnsi="Arial"/>
        </w:rPr>
        <w:t xml:space="preserve"> y </w:t>
      </w:r>
      <w:r>
        <w:rPr>
          <w:rFonts w:ascii="Consolas" w:hAnsi="Consolas"/>
          <w:sz w:val="19"/>
        </w:rPr>
        <w:t>dev</w:t>
      </w:r>
      <w:r>
        <w:rPr>
          <w:rFonts w:ascii="Arial" w:hAnsi="Arial"/>
        </w:rPr>
        <w:t>. Recibe:</w:t>
      </w:r>
    </w:p>
    <w:p>
      <w:pPr>
        <w:spacing w:before="80" w:after="200"/>
        <w:ind w:left="173"/>
        <w:shd w:val="clear" w:color="auto" w:fill="F2F2F2"/>
        <w:pBdr>
          <w:top w:val="single" w:sz="4" w:space="4" w:color="CCCCCC"/>
          <w:left w:val="single" w:sz="4" w:space="4" w:color="CCCCCC"/>
          <w:bottom w:val="single" w:sz="4" w:space="4" w:color="CCCCCC"/>
          <w:right w:val="single" w:sz="4" w:space="4" w:color="CCCCCC"/>
        </w:pBdr>
      </w:pPr>
      <w:r>
        <w:rPr>
          <w:rFonts w:ascii="Consolas" w:hAnsi="Consolas"/>
          <w:color w:val="1A1A1A"/>
          <w:sz w:val="18"/>
        </w:rPr>
        <w:t>{</w:t>
        <w:br/>
      </w:r>
      <w:r>
        <w:rPr>
          <w:rFonts w:ascii="Consolas" w:hAnsi="Consolas"/>
          <w:color w:val="1A1A1A"/>
          <w:sz w:val="18"/>
        </w:rPr>
        <w:t xml:space="preserve">  "recipient": "destinatario@correo.com",</w:t>
        <w:br/>
      </w:r>
      <w:r>
        <w:rPr>
          <w:rFonts w:ascii="Consolas" w:hAnsi="Consolas"/>
          <w:color w:val="1A1A1A"/>
          <w:sz w:val="18"/>
        </w:rPr>
        <w:t xml:space="preserve">  "subject": "Prueba ESEJUR",</w:t>
        <w:br/>
      </w:r>
      <w:r>
        <w:rPr>
          <w:rFonts w:ascii="Consolas" w:hAnsi="Consolas"/>
          <w:color w:val="1A1A1A"/>
          <w:sz w:val="18"/>
        </w:rPr>
        <w:t xml:space="preserve">  "name": "Nombre de prueba",</w:t>
        <w:br/>
      </w:r>
      <w:r>
        <w:rPr>
          <w:rFonts w:ascii="Consolas" w:hAnsi="Consolas"/>
          <w:color w:val="1A1A1A"/>
          <w:sz w:val="18"/>
        </w:rPr>
        <w:t xml:space="preserve">  "message": "El servicio funciona correctamente."</w:t>
        <w:br/>
      </w:r>
      <w:r>
        <w:rPr>
          <w:rFonts w:ascii="Consolas" w:hAnsi="Consolas"/>
          <w:color w:val="1A1A1A"/>
          <w:sz w:val="18"/>
        </w:rPr>
        <w:t>}</w:t>
      </w:r>
    </w:p>
    <w:p>
      <w:pPr>
        <w:spacing w:after="120" w:line="269" w:lineRule="auto"/>
      </w:pPr>
      <w:r>
        <w:rPr>
          <w:rFonts w:ascii="Arial" w:hAnsi="Arial"/>
        </w:rPr>
        <w:t xml:space="preserve">La respuesta </w:t>
      </w:r>
      <w:r>
        <w:rPr>
          <w:rFonts w:ascii="Consolas" w:hAnsi="Consolas"/>
          <w:sz w:val="19"/>
        </w:rPr>
        <w:t>SENT</w:t>
      </w:r>
      <w:r>
        <w:rPr>
          <w:rFonts w:ascii="Arial" w:hAnsi="Arial"/>
        </w:rPr>
        <w:t xml:space="preserve"> se produce únicamente después de que el servidor SMTP acepta el mensaje. El endpoint no está disponible en </w:t>
      </w:r>
      <w:r>
        <w:rPr>
          <w:rFonts w:ascii="Consolas" w:hAnsi="Consolas"/>
          <w:sz w:val="19"/>
        </w:rPr>
        <w:t>prod</w:t>
      </w:r>
      <w:r>
        <w:rPr>
          <w:rFonts w:ascii="Arial" w:hAnsi="Arial"/>
        </w:rPr>
        <w:t xml:space="preserve"> y no debe reutilizarse desde Angular como funcionalidad del usuario.</w:t>
      </w:r>
    </w:p>
    <w:p>
      <w:pPr>
        <w:spacing w:before="240" w:after="100"/>
      </w:pPr>
      <w:r>
        <w:rPr>
          <w:rFonts w:ascii="Arial" w:hAnsi="Arial"/>
          <w:b/>
          <w:color w:val="0A2F62"/>
          <w:sz w:val="28"/>
        </w:rPr>
        <w:t>Pruebas obligatorias</w:t>
      </w:r>
    </w:p>
    <w:p>
      <w:pPr>
        <w:spacing w:after="120" w:line="269" w:lineRule="auto"/>
        <w:ind w:left="317"/>
      </w:pPr>
      <w:r>
        <w:rPr>
          <w:rFonts w:ascii="Arial" w:hAnsi="Arial"/>
        </w:rPr>
        <w:t>•  Renderizado correcto de todos los campos y escape de caracteres HTML.</w:t>
      </w:r>
    </w:p>
    <w:p>
      <w:pPr>
        <w:spacing w:after="120" w:line="269" w:lineRule="auto"/>
        <w:ind w:left="317"/>
      </w:pPr>
      <w:r>
        <w:rPr>
          <w:rFonts w:ascii="Arial" w:hAnsi="Arial"/>
        </w:rPr>
        <w:t>•  Rechazo de una plantilla inexistente, una ruta insegura y un campo faltante.</w:t>
      </w:r>
    </w:p>
    <w:p>
      <w:pPr>
        <w:spacing w:after="120" w:line="269" w:lineRule="auto"/>
        <w:ind w:left="317"/>
      </w:pPr>
      <w:r>
        <w:rPr>
          <w:rFonts w:ascii="Arial" w:hAnsi="Arial"/>
        </w:rPr>
        <w:t>•  Destinatario, asunto, contenido HTML y codificación UTF-8 correctos.</w:t>
      </w:r>
    </w:p>
    <w:p>
      <w:pPr>
        <w:spacing w:after="120" w:line="269" w:lineRule="auto"/>
        <w:ind w:left="317"/>
      </w:pPr>
      <w:r>
        <w:rPr>
          <w:rFonts w:ascii="Arial" w:hAnsi="Arial"/>
        </w:rPr>
        <w:t xml:space="preserve">•  Conversión de un fallo del proveedor en </w:t>
      </w:r>
      <w:r>
        <w:rPr>
          <w:rFonts w:ascii="Consolas" w:hAnsi="Consolas"/>
          <w:sz w:val="19"/>
        </w:rPr>
        <w:t>MailDeliveryException</w:t>
      </w:r>
      <w:r>
        <w:rPr>
          <w:rFonts w:ascii="Arial" w:hAnsi="Arial"/>
        </w:rPr>
        <w:t>.</w:t>
      </w:r>
    </w:p>
    <w:p>
      <w:pPr>
        <w:spacing w:after="120" w:line="269" w:lineRule="auto"/>
        <w:ind w:left="317"/>
      </w:pPr>
      <w:r>
        <w:rPr>
          <w:rFonts w:ascii="Arial" w:hAnsi="Arial"/>
        </w:rPr>
        <w:t xml:space="preserve">•  HU-002 conserva la cuenta pendiente y deja la emisión fallida en </w:t>
      </w:r>
      <w:r>
        <w:rPr>
          <w:rFonts w:ascii="Consolas" w:hAnsi="Consolas"/>
          <w:sz w:val="19"/>
        </w:rPr>
        <w:t>ERROR</w:t>
      </w:r>
      <w:r>
        <w:rPr>
          <w:rFonts w:ascii="Arial" w:hAnsi="Arial"/>
        </w:rPr>
        <w:t xml:space="preserve"> e invalidada.</w:t>
      </w:r>
    </w:p>
    <w:p>
      <w:pPr>
        <w:spacing w:after="120" w:line="269" w:lineRule="auto"/>
        <w:ind w:left="317"/>
      </w:pPr>
      <w:r>
        <w:rPr>
          <w:rFonts w:ascii="Arial" w:hAnsi="Arial"/>
        </w:rPr>
        <w:t>•  HU-003 invalida los códigos anteriores y permite volver a solicitar un envío si el nuevo falla.</w:t>
      </w:r>
    </w:p>
    <w:p>
      <w:pPr>
        <w:spacing w:after="120" w:line="269" w:lineRule="auto"/>
        <w:ind w:left="317"/>
      </w:pPr>
      <w:r>
        <w:rPr>
          <w:rFonts w:ascii="Arial" w:hAnsi="Arial"/>
        </w:rPr>
        <w:t>•  HU-004 devuelve la misma respuesta neutral para cuenta inexistente y fallo de entrega.</w:t>
      </w:r>
    </w:p>
    <w:p>
      <w:pPr>
        <w:spacing w:after="120" w:line="269" w:lineRule="auto"/>
        <w:ind w:left="317"/>
      </w:pPr>
      <w:r>
        <w:rPr>
          <w:rFonts w:ascii="Arial" w:hAnsi="Arial"/>
        </w:rPr>
        <w:t xml:space="preserve">•  Ninguna prueba real depende del servidor SMTP: </w:t>
      </w:r>
      <w:r>
        <w:rPr>
          <w:rFonts w:ascii="Consolas" w:hAnsi="Consolas"/>
          <w:sz w:val="19"/>
        </w:rPr>
        <w:t>MailService</w:t>
      </w:r>
      <w:r>
        <w:rPr>
          <w:rFonts w:ascii="Arial" w:hAnsi="Arial"/>
        </w:rPr>
        <w:t xml:space="preserve"> se reemplaza por un mock.</w:t>
      </w:r>
    </w:p>
    <w:p>
      <w:pPr>
        <w:spacing w:before="240" w:after="100"/>
      </w:pPr>
      <w:r>
        <w:rPr>
          <w:rFonts w:ascii="Arial" w:hAnsi="Arial"/>
          <w:b/>
          <w:color w:val="0A2F62"/>
          <w:sz w:val="28"/>
        </w:rPr>
        <w:t>Datos que nunca deben exponerse</w:t>
      </w:r>
    </w:p>
    <w:p>
      <w:pPr>
        <w:spacing w:after="120" w:line="269" w:lineRule="auto"/>
        <w:ind w:left="317"/>
      </w:pPr>
      <w:r>
        <w:rPr>
          <w:rFonts w:ascii="Arial" w:hAnsi="Arial"/>
        </w:rPr>
        <w:t>•  contraseña SMTP;</w:t>
      </w:r>
    </w:p>
    <w:p>
      <w:pPr>
        <w:spacing w:after="120" w:line="269" w:lineRule="auto"/>
        <w:ind w:left="317"/>
      </w:pPr>
      <w:r>
        <w:rPr>
          <w:rFonts w:ascii="Arial" w:hAnsi="Arial"/>
        </w:rPr>
        <w:t>•  contraseña o hash del usuario;</w:t>
      </w:r>
    </w:p>
    <w:p>
      <w:pPr>
        <w:spacing w:after="120" w:line="269" w:lineRule="auto"/>
        <w:ind w:left="317"/>
      </w:pPr>
      <w:r>
        <w:rPr>
          <w:rFonts w:ascii="Arial" w:hAnsi="Arial"/>
        </w:rPr>
        <w:t>•  código de verificación o su hash;</w:t>
      </w:r>
    </w:p>
    <w:p>
      <w:pPr>
        <w:spacing w:after="120" w:line="269" w:lineRule="auto"/>
        <w:ind w:left="317"/>
      </w:pPr>
      <w:r>
        <w:rPr>
          <w:rFonts w:ascii="Arial" w:hAnsi="Arial"/>
        </w:rPr>
        <w:t>•  token de recuperación, su hash o la URL privada completa;</w:t>
      </w:r>
    </w:p>
    <w:p>
      <w:pPr>
        <w:spacing w:after="120" w:line="269" w:lineRule="auto"/>
        <w:ind w:left="317"/>
      </w:pPr>
      <w:r>
        <w:rPr>
          <w:rFonts w:ascii="Arial" w:hAnsi="Arial"/>
        </w:rPr>
        <w:t>•  cuerpo completo del correo en logs;</w:t>
      </w:r>
    </w:p>
    <w:p>
      <w:pPr>
        <w:spacing w:after="120" w:line="269" w:lineRule="auto"/>
        <w:ind w:left="317"/>
      </w:pPr>
      <w:r>
        <w:rPr>
          <w:rFonts w:ascii="Arial" w:hAnsi="Arial"/>
        </w:rPr>
        <w:t>•  lista de destinatarios en logs o respuestas de error.</w:t>
      </w:r>
    </w:p>
    <w:sectPr w:rsidR="00FC693F" w:rsidRPr="0006063C" w:rsidSect="00034616">
      <w:headerReference w:type="default" r:id="rId9"/>
      <w:footerReference w:type="default" r:id="rId10"/>
      <w:pgSz w:w="12240" w:h="15840"/>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r>
    <w:r>
      <w:rPr>
        <w:rFonts w:ascii="Arial" w:hAnsi="Arial"/>
        <w:sz w:val="18"/>
      </w:rPr>
      <w:t xml:space="preserve">Página </w:t>
    </w:r>
    <w:r>
      <w:rPr>
        <w:rFonts w:ascii="Arial" w:hAnsi="Arial"/>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000000"/>
        <w:sz w:val="18"/>
      </w:rPr>
      <w:t>ESEJUR   ·   Mapa técnico EP01 · Acceso y Descubrimiento   ·   Servicio de correo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