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Arial" w:hAnsi="Arial" w:eastAsia="Arial"/>
          <w:b/>
          <w:i w:val="0"/>
          <w:color w:val="000000"/>
          <w:sz w:val="34"/>
        </w:rPr>
        <w:t>HU-006 — Explorar, buscar y filtrar cursos</w:t>
      </w:r>
    </w:p>
    <w:p>
      <w:pPr>
        <w:spacing w:before="0" w:after="200"/>
        <w:pBdr>
          <w:bottom w:val="single" w:sz="8" w:space="1" w:color="3B4B5C"/>
        </w:pBdr>
      </w:pPr>
    </w:p>
    <w:p>
      <w:pPr>
        <w:spacing w:before="0" w:after="240" w:line="276" w:lineRule="auto"/>
      </w:pPr>
      <w:r>
        <w:rPr>
          <w:rFonts w:ascii="Arial" w:hAnsi="Arial" w:eastAsia="Arial"/>
          <w:b/>
          <w:i/>
          <w:color w:val="000000"/>
          <w:sz w:val="19"/>
        </w:rPr>
        <w:t xml:space="preserve">Nota: </w:t>
      </w:r>
      <w:r>
        <w:rPr>
          <w:rFonts w:ascii="Arial" w:hAnsi="Arial" w:eastAsia="Arial"/>
          <w:b w:val="0"/>
          <w:i/>
          <w:color w:val="000000"/>
          <w:sz w:val="19"/>
        </w:rPr>
        <w:t xml:space="preserve">“PF” significa </w:t>
      </w:r>
      <w:r>
        <w:rPr>
          <w:rFonts w:ascii="Arial" w:hAnsi="Arial" w:eastAsia="Arial"/>
          <w:b/>
          <w:i/>
          <w:color w:val="000000"/>
          <w:sz w:val="19"/>
        </w:rPr>
        <w:t>Pantalla Funcional</w:t>
      </w:r>
      <w:r>
        <w:rPr>
          <w:rFonts w:ascii="Arial" w:hAnsi="Arial" w:eastAsia="Arial"/>
          <w:b w:val="0"/>
          <w:i/>
          <w:color w:val="000000"/>
          <w:sz w:val="19"/>
        </w:rPr>
        <w:t xml:space="preserve"> — el código con el que este proyecto identifica cada pantalla principal del sistema (por ejemplo, PF-001 = Inicio y catálogo de cursos, la que abre esta historia).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Información general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08"/>
        <w:gridCol w:w="6236"/>
      </w:tblGrid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Actor principal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Visitante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Incremento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Mes 1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Personas recomendadas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2</w:t>
            </w:r>
          </w:p>
        </w:tc>
      </w:tr>
      <w:tr>
        <w:tc>
          <w:tcPr>
            <w:tcW w:type="dxa" w:w="2608"/>
            <w:shd w:val="clear" w:color="auto" w:fill="D9D9D9"/>
          </w:tcPr>
          <w:p>
            <w:pPr>
              <w:spacing w:before="60" w:after="60"/>
            </w:pPr>
            <w:r>
              <w:rPr>
                <w:rFonts w:ascii="Arial" w:hAnsi="Arial" w:eastAsia="Arial"/>
                <w:b/>
                <w:i w:val="0"/>
                <w:color w:val="000000"/>
                <w:sz w:val="21"/>
              </w:rPr>
              <w:t>Responsable / participante</w:t>
            </w:r>
          </w:p>
        </w:tc>
        <w:tc>
          <w:tcPr>
            <w:tcW w:type="dxa" w:w="6236"/>
          </w:tcPr>
          <w:p>
            <w:pPr>
              <w:spacing w:before="60" w:after="6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1"/>
              </w:rPr>
              <w:t>Enrique y Miguel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Historia</w:t>
      </w:r>
    </w:p>
    <w:p>
      <w:pPr>
        <w:spacing w:before="0" w:after="240" w:line="276" w:lineRule="auto"/>
        <w:ind w:left="567"/>
      </w:pPr>
      <w:r>
        <w:rPr>
          <w:rFonts w:ascii="Arial" w:hAnsi="Arial" w:eastAsia="Arial"/>
          <w:b w:val="0"/>
          <w:i/>
          <w:color w:val="000000"/>
          <w:sz w:val="24"/>
        </w:rPr>
        <w:t xml:space="preserve">Como </w:t>
      </w:r>
      <w:r>
        <w:rPr>
          <w:rFonts w:ascii="Arial" w:hAnsi="Arial" w:eastAsia="Arial"/>
          <w:b/>
          <w:i/>
          <w:color w:val="000000"/>
          <w:sz w:val="24"/>
        </w:rPr>
        <w:t>visitante</w:t>
      </w:r>
      <w:r>
        <w:rPr>
          <w:rFonts w:ascii="Arial" w:hAnsi="Arial" w:eastAsia="Arial"/>
          <w:b w:val="0"/>
          <w:i/>
          <w:color w:val="000000"/>
          <w:sz w:val="24"/>
        </w:rPr>
        <w:t xml:space="preserve">, quiero </w:t>
      </w:r>
      <w:r>
        <w:rPr>
          <w:rFonts w:ascii="Arial" w:hAnsi="Arial" w:eastAsia="Arial"/>
          <w:b/>
          <w:i/>
          <w:color w:val="000000"/>
          <w:sz w:val="24"/>
        </w:rPr>
        <w:t>explorar, buscar y filtrar la oferta</w:t>
      </w:r>
      <w:r>
        <w:rPr>
          <w:rFonts w:ascii="Arial" w:hAnsi="Arial" w:eastAsia="Arial"/>
          <w:b w:val="0"/>
          <w:i/>
          <w:color w:val="000000"/>
          <w:sz w:val="24"/>
        </w:rPr>
        <w:t xml:space="preserve">, para </w:t>
      </w:r>
      <w:r>
        <w:rPr>
          <w:rFonts w:ascii="Arial" w:hAnsi="Arial" w:eastAsia="Arial"/>
          <w:b/>
          <w:i/>
          <w:color w:val="000000"/>
          <w:sz w:val="24"/>
        </w:rPr>
        <w:t>encontrar un curso jurídico adecuado sin registrarme primero</w:t>
      </w:r>
      <w:r>
        <w:rPr>
          <w:rFonts w:ascii="Arial" w:hAnsi="Arial" w:eastAsia="Arial"/>
          <w:b w:val="0"/>
          <w:i/>
          <w:color w:val="000000"/>
          <w:sz w:val="24"/>
        </w:rPr>
        <w:t>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Alcance incluido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Catálogo público con tarjetas que muestran imagen, tipo de curso, título, avatares de docentes, fecha de inicio o estado y el botón “Ver detalles”.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Búsqueda sobre título y descripción.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Dos selectores independientes: Tipo de curso y Categoría temática. Cada selector permite un valor a la vez y comienza en “Todos”. El visitante puede combinar ambos entre sí y con el buscador.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La modalidad aparece como información de la tarjeta, pero no forma parte de los filtros.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Curso destacado antes que no destacado.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Dentro de cada grupo: VIRTUAL con inicio inmediato, fechas futuras más próximas y luego cursos en progreso.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Badge “En vivo” para EN_VIVO e HIBRIDO.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Estados comerciales visibles derivados de los datos reales: “Inicio inmediato” para VIRTUAL sin fecha de inicio; “Inicia el [fecha]” antes de una fecha futura; “En progreso” después de iniciar; “Matrícula cerrada” al alcanzar el cierre comercial; y “Sin cupos” cuando las matrículas ACTIVA alcanzan la capacidad configurada.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Resultado vacío comprensible.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Todas las fechas y horas comerciales se muestran en la zona America/Lima.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Flujo principal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visitante abre el catálogo sin iniciar sesión.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Visualiza la oferta en el orden acordado.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Escribe una búsqueda o elige un tipo y una categoría en sus selectores.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ESEJUR muestra solo coincidencias y permite volver individualmente a “Todos” o limpiar todo.</w:t>
      </w:r>
    </w:p>
    <w:p>
      <w:pPr>
        <w:pStyle w:val="ListNumber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Selecciona un curso para HU-007.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Diagrama de flujo</w:t>
      </w:r>
    </w:p>
    <w:p>
      <w:pPr>
        <w:spacing w:before="0" w:after="120" w:line="276" w:lineRule="auto"/>
      </w:pPr>
      <w:r>
        <w:rPr>
          <w:rFonts w:ascii="Arial" w:hAnsi="Arial" w:eastAsia="Arial"/>
          <w:b w:val="0"/>
          <w:i/>
          <w:color w:val="3B4B5C"/>
          <w:sz w:val="21"/>
        </w:rPr>
        <w:t>Recorrido de exploración, búsqueda y filtros, desde que se abre el catálogo hasta seleccionar un curso.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206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hu0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0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Criterios de aceptación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cursos destacados y no destacados,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abre el catálogo,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los destacados aparecen primero y cada grupo respeta el orden temporal definido.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una palabra en título o descripción,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busca,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obtiene coincidencias.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tipo y categoría,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combina filtros,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se aplican ambos ejes.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selector sin elección específica,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conserva “Todos”,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ese eje no excluye cursos.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la modalidad de un curso,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consulta los filtros,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la modalidad no aparece como tercer selector; se comunica en la tarjeta mediante su etiqueta informativa.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curso EN_VIVO o HIBRIDO,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aparece,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muestra el badge “En vivo”.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cualquier tarjeta visible,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se presenta,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contiene imagen, tipo, título, docentes, fecha o estado y una acción para consultar los detalles.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ningún resultado,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filtra,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recibe un estado vacío y puede limpiar.</w:t>
      </w:r>
    </w:p>
    <w:p>
      <w:pPr>
        <w:pStyle w:val="ListBullet"/>
        <w:spacing w:after="12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Dado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un curso con fecha u hora,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cuando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se muestra su estado comercial, 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entonces </w:t>
      </w:r>
      <w:r>
        <w:rPr>
          <w:rFonts w:ascii="Arial" w:hAnsi="Arial" w:eastAsia="Arial"/>
          <w:b w:val="0"/>
          <w:i w:val="0"/>
          <w:color w:val="000000"/>
          <w:sz w:val="22"/>
        </w:rPr>
        <w:t>la comparación y el texto visible utilizan America/Lima.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Datos y permisos</w:t>
      </w:r>
    </w:p>
    <w:p>
      <w:pPr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El catálogo nunca expone matrículas, alumnos, materiales protegidos ni certificados. No requiere sesión.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Dependencia interna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Ninguna. Puede comenzar con cursos controlados.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HU-007 se integra mediante la selección de una tarjeta.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Orientación de trabajo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Frontend: </w:t>
      </w:r>
      <w:r>
        <w:rPr>
          <w:rFonts w:ascii="Arial" w:hAnsi="Arial" w:eastAsia="Arial"/>
          <w:b w:val="0"/>
          <w:i w:val="0"/>
          <w:color w:val="000000"/>
          <w:sz w:val="22"/>
        </w:rPr>
        <w:t>tarjetas, búsqueda, selectores de tipo y categoría, orden y estados vacíos.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Backend: </w:t>
      </w:r>
      <w:r>
        <w:rPr>
          <w:rFonts w:ascii="Arial" w:hAnsi="Arial" w:eastAsia="Arial"/>
          <w:b w:val="0"/>
          <w:i w:val="0"/>
          <w:color w:val="000000"/>
          <w:sz w:val="22"/>
        </w:rPr>
        <w:t>selección pública de cursos, búsqueda y orden coherente.</w:t>
      </w:r>
    </w:p>
    <w:p>
      <w:pPr>
        <w:pStyle w:val="ListBullet"/>
        <w:spacing w:after="80" w:line="276" w:lineRule="auto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Integración: </w:t>
      </w:r>
      <w:r>
        <w:rPr>
          <w:rFonts w:ascii="Arial" w:hAnsi="Arial" w:eastAsia="Arial"/>
          <w:b w:val="0"/>
          <w:i w:val="0"/>
          <w:color w:val="000000"/>
          <w:sz w:val="22"/>
        </w:rPr>
        <w:t>combinación de búsqueda, filtros y navegación a ficha.</w:t>
      </w:r>
    </w:p>
    <w:p>
      <w:pPr>
        <w:keepNext/>
        <w:spacing w:before="240" w:after="80"/>
      </w:pPr>
      <w:r>
        <w:rPr>
          <w:rFonts w:ascii="Arial" w:hAnsi="Arial" w:eastAsia="Arial"/>
          <w:b/>
          <w:i w:val="0"/>
          <w:color w:val="000000"/>
          <w:sz w:val="28"/>
        </w:rPr>
        <w:t>Demostración esperada</w:t>
      </w:r>
    </w:p>
    <w:p>
      <w:pPr>
        <w:spacing w:before="0" w:after="120" w:line="276" w:lineRule="auto"/>
      </w:pPr>
      <w:r>
        <w:rPr>
          <w:rFonts w:ascii="Arial" w:hAnsi="Arial" w:eastAsia="Arial"/>
          <w:b w:val="0"/>
          <w:i w:val="0"/>
          <w:color w:val="000000"/>
          <w:sz w:val="22"/>
        </w:rPr>
        <w:t>Buscar por descripción, elegir tipo y categoría, volver a “Todos”, limpiar la búsqueda y comprobar el orden con cursos virtuales, futuros, en progreso y destacados.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000000"/>
        <w:sz w:val="18"/>
      </w:rPr>
      <w:t xml:space="preserve">Página </w:t>
    </w:r>
    <w:r>
      <w:rPr>
        <w:rFonts w:ascii="Arial" w:hAnsi="Arial" w:eastAsia="Arial"/>
        <w:b w:val="0"/>
        <w:i w:val="0"/>
        <w:color w:val="000000"/>
        <w:sz w:val="19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3B4B5C"/>
      </w:pBdr>
    </w:pPr>
    <w:r>
      <w:rPr>
        <w:rFonts w:ascii="Arial" w:hAnsi="Arial" w:eastAsia="Arial"/>
        <w:b w:val="0"/>
        <w:i/>
        <w:color w:val="000000"/>
        <w:sz w:val="18"/>
      </w:rPr>
      <w:t>ESEJUR  ·  EP01 — Acceso y Descubrimiento  ·  HU-006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