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Arial" w:hAnsi="Arial" w:eastAsia="Arial"/>
          <w:b/>
          <w:i w:val="0"/>
          <w:color w:val="000000"/>
          <w:sz w:val="34"/>
        </w:rPr>
        <w:t>HU-007 — Consultar la ficha y vista previa de un curso</w:t>
      </w:r>
    </w:p>
    <w:p>
      <w:pPr>
        <w:spacing w:before="0" w:after="200"/>
        <w:pBdr>
          <w:bottom w:val="single" w:sz="8" w:space="1" w:color="3B4B5C"/>
        </w:pBdr>
      </w:pPr>
    </w:p>
    <w:p>
      <w:pPr>
        <w:spacing w:before="0" w:after="240" w:line="276" w:lineRule="auto"/>
      </w:pPr>
      <w:r>
        <w:rPr>
          <w:rFonts w:ascii="Arial" w:hAnsi="Arial" w:eastAsia="Arial"/>
          <w:b/>
          <w:i/>
          <w:color w:val="000000"/>
          <w:sz w:val="19"/>
        </w:rPr>
        <w:t xml:space="preserve">Nota: </w:t>
      </w:r>
      <w:r>
        <w:rPr>
          <w:rFonts w:ascii="Arial" w:hAnsi="Arial" w:eastAsia="Arial"/>
          <w:b w:val="0"/>
          <w:i/>
          <w:color w:val="000000"/>
          <w:sz w:val="19"/>
        </w:rPr>
        <w:t xml:space="preserve">“PF” significa </w:t>
      </w:r>
      <w:r>
        <w:rPr>
          <w:rFonts w:ascii="Arial" w:hAnsi="Arial" w:eastAsia="Arial"/>
          <w:b/>
          <w:i/>
          <w:color w:val="000000"/>
          <w:sz w:val="19"/>
        </w:rPr>
        <w:t>Pantalla Funcional</w:t>
      </w:r>
      <w:r>
        <w:rPr>
          <w:rFonts w:ascii="Arial" w:hAnsi="Arial" w:eastAsia="Arial"/>
          <w:b w:val="0"/>
          <w:i/>
          <w:color w:val="000000"/>
          <w:sz w:val="19"/>
        </w:rPr>
        <w:t xml:space="preserve"> — el código con el que este proyecto identifica cada pantalla principal del sistema (por ejemplo, PF-002 = Ficha pública y vista previa del curso, la que abre esta historia).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Información general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8"/>
        <w:gridCol w:w="6236"/>
      </w:tblGrid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Actor principal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Visitante</w:t>
            </w:r>
          </w:p>
        </w:tc>
      </w:tr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Incremento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Mes 1</w:t>
            </w:r>
          </w:p>
        </w:tc>
      </w:tr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Personas recomendadas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2</w:t>
            </w:r>
          </w:p>
        </w:tc>
      </w:tr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Responsable / participante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Enrique y Miguel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Historia</w:t>
      </w:r>
    </w:p>
    <w:p>
      <w:pPr>
        <w:spacing w:before="0" w:after="240" w:line="276" w:lineRule="auto"/>
        <w:ind w:left="567"/>
      </w:pPr>
      <w:r>
        <w:rPr>
          <w:rFonts w:ascii="Arial" w:hAnsi="Arial" w:eastAsia="Arial"/>
          <w:b w:val="0"/>
          <w:i/>
          <w:color w:val="000000"/>
          <w:sz w:val="24"/>
        </w:rPr>
        <w:t xml:space="preserve">Como </w:t>
      </w:r>
      <w:r>
        <w:rPr>
          <w:rFonts w:ascii="Arial" w:hAnsi="Arial" w:eastAsia="Arial"/>
          <w:b/>
          <w:i/>
          <w:color w:val="000000"/>
          <w:sz w:val="24"/>
        </w:rPr>
        <w:t>visitante</w:t>
      </w:r>
      <w:r>
        <w:rPr>
          <w:rFonts w:ascii="Arial" w:hAnsi="Arial" w:eastAsia="Arial"/>
          <w:b w:val="0"/>
          <w:i/>
          <w:color w:val="000000"/>
          <w:sz w:val="24"/>
        </w:rPr>
        <w:t xml:space="preserve">, quiero </w:t>
      </w:r>
      <w:r>
        <w:rPr>
          <w:rFonts w:ascii="Arial" w:hAnsi="Arial" w:eastAsia="Arial"/>
          <w:b/>
          <w:i/>
          <w:color w:val="000000"/>
          <w:sz w:val="24"/>
        </w:rPr>
        <w:t>revisar la información y una muestra real del curso</w:t>
      </w:r>
      <w:r>
        <w:rPr>
          <w:rFonts w:ascii="Arial" w:hAnsi="Arial" w:eastAsia="Arial"/>
          <w:b w:val="0"/>
          <w:i/>
          <w:color w:val="000000"/>
          <w:sz w:val="24"/>
        </w:rPr>
        <w:t xml:space="preserve">, para </w:t>
      </w:r>
      <w:r>
        <w:rPr>
          <w:rFonts w:ascii="Arial" w:hAnsi="Arial" w:eastAsia="Arial"/>
          <w:b/>
          <w:i/>
          <w:color w:val="000000"/>
          <w:sz w:val="24"/>
        </w:rPr>
        <w:t>decidir si me conviene matricularme</w:t>
      </w:r>
      <w:r>
        <w:rPr>
          <w:rFonts w:ascii="Arial" w:hAnsi="Arial" w:eastAsia="Arial"/>
          <w:b w:val="0"/>
          <w:i/>
          <w:color w:val="000000"/>
          <w:sz w:val="24"/>
        </w:rPr>
        <w:t>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Alcance incluido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Título, descripción con “Leer más” cuando sea larga, portada, tipo, categoría, modalidad, docentes con foto y biografía, horas y lista de beneficios escrita libremente para ese curso.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Panel comercial con precio regular tachado, precio promocional vigente y botón de compra cuando corresponda. Si no hay promoción vigente se muestra únicamente el precio aplicable.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Temario completo desplegable por módulo, indicando cantidad y lista ordenada de lecciones, sin entregar contenido protegido.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Cuando existe una duración de video detectada, se muestra junto a la lección en el temario.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Ficha técnica con horas académicas, entidad que refrenda y mención de validación por QR.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VIRTUAL: “Inicio inmediato” cuando no hay fecha, sin fecha de fin ni calendario.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En VIRTUAL se comunica que el contenido está disponible las 24 horas y se estudia al propio ritmo; si tiene fecha de inicio la muestra, pero nunca muestra fecha de fin.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EN_VIVO/HIBRIDO: inicio, fin, hora, número de sesiones, duración de las sesiones, fecha de cada sesión dentro del temario y calendario mensual; muestra “Matrícula cerrada” cuando se alcanzó la fecha o el cierre administrativo.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Si el curso tiene capacidad configurada, muestra disponibilidad o “Sin cupos” al alcanzar el límite de matrículas ACTIVA. Si la capacidad está vacía, no presenta un límite artificial.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Lecciones marcadas como vista previa, públicas sin registro.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Badge “En vivo” según modalidad.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El botón comercial se muestra como “Acceder gratis” solo para un curso gratuito disponible y como “Pagar ahora” para un curso pagado disponible.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Fechas, horas, vigencias promocionales y estados se interpretan y muestran en America/Lima.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Flujo principal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El visitante abre la ficha desde catálogo o URL amigable.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ESEJUR presenta los datos según modalidad y estado.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El visitante despliega el temario y abre una lección de vista previa.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Puede crear una cuenta y, si el curso está disponible, iniciar matrícula gratuita o pago en línea; la ficha no concede acceso por sí sola.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Diagrama de flujo</w:t>
      </w:r>
    </w:p>
    <w:p>
      <w:pPr>
        <w:spacing w:before="0" w:after="120" w:line="276" w:lineRule="auto"/>
      </w:pPr>
      <w:r>
        <w:rPr>
          <w:rFonts w:ascii="Arial" w:hAnsi="Arial" w:eastAsia="Arial"/>
          <w:b w:val="0"/>
          <w:i/>
          <w:color w:val="3B4B5C"/>
          <w:sz w:val="21"/>
        </w:rPr>
        <w:t>Presentación según modalidad y las dos ramas de la ficha: abrir una lección del temario y consultar el panel comercial.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223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hu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2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Excepciones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Una lección no marcada como vista previa solicita matrícula válida.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Un curso pagado sin muestra real no puede llegar publicado; esta historia no sustituye esa validación.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El enlace directo a material protegido no concede acceso.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Un video de YouTube solo se entrega públicamente cuando pertenece a una lección marcada como vista previa. En las demás lecciones, conocer la dirección del video no sustituye la validación de acceso realizada por ESEJUR.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Criterios de aceptación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VIRTUAL sin fecha,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consulta la ficha,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ve “Inicio inmediato” y nunca fecha de fin.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EN_VIVO o HIBRIDO,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consulta la ficha,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ve fechas y calendario.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una descripción larga,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abre la ficha,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puede desplegarla con “Leer más” sin perder los demás datos comerciales.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curso con promoción vigente,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consulta el panel comercial,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ve el precio regular tachado y el precio promocional que realmente se usará al iniciar el pago.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EN_VIVO o HIBRIDO,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revisa el temario y el calendario,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puede conocer las fechas de sus sesiones antes de matricularse.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una lección de vista previa,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la abre sin sesión,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accede al contenido real permitido.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material no público,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intenta abrir su enlace,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no obtiene acceso.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curso gratuito o pagado disponible,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consulta la ficha,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ve respectivamente “Acceder gratis” o “Pagar ahora”, sin intercambiar ambos caminos.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una fecha u hora del curso,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se presenta en ficha o calendario,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se muestra en America/Lima.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Dependencia interna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Se integra con HU-006 para el recorrido desde catálogo.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Puede desarrollarse en paralelo usando una URL y curso controlados.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Orientación de trabajo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Frontend: </w:t>
      </w:r>
      <w:r>
        <w:rPr>
          <w:rFonts w:ascii="Arial" w:hAnsi="Arial" w:eastAsia="Arial"/>
          <w:b w:val="0"/>
          <w:i w:val="0"/>
          <w:color w:val="000000"/>
          <w:sz w:val="22"/>
        </w:rPr>
        <w:t>ficha adaptable, temario, vista previa y estados comerciales.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Backend: </w:t>
      </w:r>
      <w:r>
        <w:rPr>
          <w:rFonts w:ascii="Arial" w:hAnsi="Arial" w:eastAsia="Arial"/>
          <w:b w:val="0"/>
          <w:i w:val="0"/>
          <w:color w:val="000000"/>
          <w:sz w:val="22"/>
        </w:rPr>
        <w:t>datos públicos, vigencia promocional y autorización de vista previa.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Integración: </w:t>
      </w:r>
      <w:r>
        <w:rPr>
          <w:rFonts w:ascii="Arial" w:hAnsi="Arial" w:eastAsia="Arial"/>
          <w:b w:val="0"/>
          <w:i w:val="0"/>
          <w:color w:val="000000"/>
          <w:sz w:val="22"/>
        </w:rPr>
        <w:t>catálogo → ficha → contenido público → llamado a registro/matrícula.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Demostración esperada</w:t>
      </w:r>
    </w:p>
    <w:p>
      <w:pPr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Comparar una ficha VIRTUAL y una HIBRIDA, abrir una vista previa sin sesión y demostrar el rechazo de un material protegido.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000000"/>
        <w:sz w:val="18"/>
      </w:rPr>
      <w:t xml:space="preserve">Página </w:t>
    </w:r>
    <w:r>
      <w:rPr>
        <w:rFonts w:ascii="Arial" w:hAnsi="Arial" w:eastAsia="Arial"/>
        <w:b w:val="0"/>
        <w:i w:val="0"/>
        <w:color w:val="000000"/>
        <w:sz w:val="19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3B4B5C"/>
      </w:pBdr>
    </w:pPr>
    <w:r>
      <w:rPr>
        <w:rFonts w:ascii="Arial" w:hAnsi="Arial" w:eastAsia="Arial"/>
        <w:b w:val="0"/>
        <w:i/>
        <w:color w:val="000000"/>
        <w:sz w:val="18"/>
      </w:rPr>
      <w:t>ESEJUR  ·  EP01 — Acceso y Descubrimiento  ·  HU-007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