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29859" w14:textId="3F0BAA31" w:rsidR="00D64E71" w:rsidRDefault="00D64E71" w:rsidP="00D64E71">
      <w:r>
        <w:t>auratus.1</w:t>
      </w:r>
    </w:p>
    <w:p w14:paraId="3D8CFF67" w14:textId="77777777" w:rsidR="00D64E71" w:rsidRDefault="00D64E71" w:rsidP="00D64E71">
      <w:bookmarkStart w:id="0" w:name="_GoBack"/>
      <w:bookmarkEnd w:id="0"/>
    </w:p>
    <w:p w14:paraId="493874BE" w14:textId="550B7C07" w:rsidR="00C2154D" w:rsidRPr="0080381A" w:rsidRDefault="00D64E71" w:rsidP="00D64E71">
      <w:r>
        <w:t>Length: 1.9mm - 2.4mm. Body color: iridescent, blue-green with yellow tinge; dorsellum band iridescent blue-green; raised smnooth tubercle bright red and yellow. Legs: coxae green, pro- and meso femora brown, hind femora blue-green, tibiae brown to yellow, lighter on distad and inner surfaces, tarsi yellow. Antenna: scape brown; pedicel brown; flagellum yellow. Head, in frontal view: quadrate, slightly wider than high, HW/HH 1.3; in dorsal view transverse, width greater than twice length, HW/HL 2.1-2.2; slightly wider than pronotum, HW/PW 1.1.-1.2. Frontal carina: absent. Scrobal cavity: shallow, with sides of scrobal cavity expanded. Ocelli: normal size, as wide or wider than F1. POL: long, a least twice OOL. Vertex: about one-third HL; conspicuously swollen ridge originating from between median and lateral ocelli towards lower eye margin; rounded behind, slightly invaginated towards median ocellus; interocellular region with alveolae around ocelli, with strong transverse costulae, uppermost costulae strongly curved towards median ocellus, without distinct posterior carina. Outer orbits, sculpture at mid-eye height: imbricate, stronger costulae behind. Inner orbits: in lateral view expanded, gradually narrowing from top to middle of eye; sculpture coriaceous. Malar space: about one-fifth eye height,  MS/EH approx. .2; malar sulcus distinct. Malar region, sculpture: glabrous, with weak piliferous puncta. Clypeus: transverse, much wider than high, CW/CH 2.1-2.2; lateral sulci strong and straight, strongly divergent; tentorial pits deep; epistomal sulcus deeper and more distinct than lateral sulci; straight or weakly concave; only slightly extended ventrad; lower margin convex, rounded; Supraclypeal area: longer, .6-.7 clypeus height; Female scape: long, about .6 EH; glabrous, without apical punctures; Pedicel: longer than F1, PL/F1L 1.3-1.7; Anellus: 0.5 F1L; Mesosoma in dorsal view (needs edit): about 1.1-1.2 maximum width; Pronotum in dorsal view: short, about one-quarter length of mesoscutum, PN/MSC .23-.26; shorter along midline, .7-.8 length laterad; anterior margin rounded, without a distinct edge; Lateral panel of pronotum (recode pappi collium): flat, with 2 rows punctures and coriarious patch with few rugae running between punctures, with flared margin; narrower than prepectus, LPN/PPT 0.6-0.7; Raised smooth transverse tubercle: present; Midlobe of mesoscutum (sculpture): with angulate punctures and narrow interspaces; Midlobe of mesoscutum (sculpture): with angulate punctures and narrow interspaces, widened on anterior median mesoscutum; notauli distinct; Lateral lobe of mesoscutum (sculpture): strongly coriaceous; weak rounded punctures, interstices wide, coriaceous, with few longitudinal rugae; with angulate punctures and narrow interspaces; Propodeum: long, length along midline about one-third width of propodeum; alveolate-rugose laterad, delimited ventrad by plicae, dorsad by transverse band of foveae and long median carina; Forewing with: postmarginal vein about 0.9-1 length of marginal vein; Petiole, with exposed dorsal suface: short and straplike, glabrous, light brown in colour, without raised dorsal surface; Gs1: not examined; acrosternite not examined; Gt2: glabrous, weakly concave; Gt3: glabrous;</w:t>
      </w:r>
    </w:p>
    <w:sectPr w:rsidR="00C2154D" w:rsidRPr="0080381A" w:rsidSect="00655E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7C"/>
    <w:rsid w:val="00011A3E"/>
    <w:rsid w:val="00065D21"/>
    <w:rsid w:val="0007798B"/>
    <w:rsid w:val="00084EF2"/>
    <w:rsid w:val="00093FEE"/>
    <w:rsid w:val="000C6168"/>
    <w:rsid w:val="00132AE8"/>
    <w:rsid w:val="0016356F"/>
    <w:rsid w:val="00184920"/>
    <w:rsid w:val="00187E10"/>
    <w:rsid w:val="001C5EED"/>
    <w:rsid w:val="001C7FB7"/>
    <w:rsid w:val="001D05D1"/>
    <w:rsid w:val="0020110D"/>
    <w:rsid w:val="00202658"/>
    <w:rsid w:val="0021401C"/>
    <w:rsid w:val="002333D2"/>
    <w:rsid w:val="002431CB"/>
    <w:rsid w:val="00264B98"/>
    <w:rsid w:val="002853EB"/>
    <w:rsid w:val="002C06C4"/>
    <w:rsid w:val="002E060B"/>
    <w:rsid w:val="0031658C"/>
    <w:rsid w:val="00345714"/>
    <w:rsid w:val="00347F04"/>
    <w:rsid w:val="0039445E"/>
    <w:rsid w:val="003B28BA"/>
    <w:rsid w:val="003C02C9"/>
    <w:rsid w:val="003C3CF4"/>
    <w:rsid w:val="003E224F"/>
    <w:rsid w:val="00410E60"/>
    <w:rsid w:val="0043022F"/>
    <w:rsid w:val="004704B8"/>
    <w:rsid w:val="00492809"/>
    <w:rsid w:val="00493938"/>
    <w:rsid w:val="004A6FA3"/>
    <w:rsid w:val="004A7E2D"/>
    <w:rsid w:val="004C68EB"/>
    <w:rsid w:val="004D2332"/>
    <w:rsid w:val="004F08C7"/>
    <w:rsid w:val="00511BEB"/>
    <w:rsid w:val="00523F85"/>
    <w:rsid w:val="00557779"/>
    <w:rsid w:val="00591D7C"/>
    <w:rsid w:val="005E3FE0"/>
    <w:rsid w:val="00617E6B"/>
    <w:rsid w:val="00640905"/>
    <w:rsid w:val="00655E37"/>
    <w:rsid w:val="0068286F"/>
    <w:rsid w:val="006A2324"/>
    <w:rsid w:val="006A680C"/>
    <w:rsid w:val="006B409F"/>
    <w:rsid w:val="006C2DE8"/>
    <w:rsid w:val="006E1D60"/>
    <w:rsid w:val="006E6381"/>
    <w:rsid w:val="007302B9"/>
    <w:rsid w:val="00732B3D"/>
    <w:rsid w:val="00743D90"/>
    <w:rsid w:val="007546F4"/>
    <w:rsid w:val="00762357"/>
    <w:rsid w:val="00773EA8"/>
    <w:rsid w:val="00792CED"/>
    <w:rsid w:val="00795315"/>
    <w:rsid w:val="007A0384"/>
    <w:rsid w:val="007B49E6"/>
    <w:rsid w:val="007E3855"/>
    <w:rsid w:val="007F3D1B"/>
    <w:rsid w:val="0080381A"/>
    <w:rsid w:val="0082077D"/>
    <w:rsid w:val="008343CC"/>
    <w:rsid w:val="00853CA8"/>
    <w:rsid w:val="00857C88"/>
    <w:rsid w:val="008852AA"/>
    <w:rsid w:val="008E2D09"/>
    <w:rsid w:val="008F2358"/>
    <w:rsid w:val="009048BB"/>
    <w:rsid w:val="00913703"/>
    <w:rsid w:val="009824CD"/>
    <w:rsid w:val="009B042A"/>
    <w:rsid w:val="009D3058"/>
    <w:rsid w:val="009E7840"/>
    <w:rsid w:val="00A07EC6"/>
    <w:rsid w:val="00A13716"/>
    <w:rsid w:val="00A42278"/>
    <w:rsid w:val="00A47159"/>
    <w:rsid w:val="00A67378"/>
    <w:rsid w:val="00A869FF"/>
    <w:rsid w:val="00A87787"/>
    <w:rsid w:val="00AE3472"/>
    <w:rsid w:val="00AE5582"/>
    <w:rsid w:val="00B23657"/>
    <w:rsid w:val="00B264C6"/>
    <w:rsid w:val="00B44009"/>
    <w:rsid w:val="00B52955"/>
    <w:rsid w:val="00B77912"/>
    <w:rsid w:val="00B93BEB"/>
    <w:rsid w:val="00BA70CD"/>
    <w:rsid w:val="00BA72FC"/>
    <w:rsid w:val="00BC4B43"/>
    <w:rsid w:val="00BE1D11"/>
    <w:rsid w:val="00BF7B91"/>
    <w:rsid w:val="00C0356F"/>
    <w:rsid w:val="00C04B6B"/>
    <w:rsid w:val="00C2154D"/>
    <w:rsid w:val="00C854F2"/>
    <w:rsid w:val="00CB17C6"/>
    <w:rsid w:val="00CC1E65"/>
    <w:rsid w:val="00D00B84"/>
    <w:rsid w:val="00D13198"/>
    <w:rsid w:val="00D13A02"/>
    <w:rsid w:val="00D20516"/>
    <w:rsid w:val="00D21550"/>
    <w:rsid w:val="00D3427C"/>
    <w:rsid w:val="00D44578"/>
    <w:rsid w:val="00D64E71"/>
    <w:rsid w:val="00D70D24"/>
    <w:rsid w:val="00D776B9"/>
    <w:rsid w:val="00D806FC"/>
    <w:rsid w:val="00D8071C"/>
    <w:rsid w:val="00D87EA5"/>
    <w:rsid w:val="00DB4F79"/>
    <w:rsid w:val="00DC3104"/>
    <w:rsid w:val="00DE231F"/>
    <w:rsid w:val="00DE41DB"/>
    <w:rsid w:val="00DF0E6C"/>
    <w:rsid w:val="00E257E9"/>
    <w:rsid w:val="00E57501"/>
    <w:rsid w:val="00ED0734"/>
    <w:rsid w:val="00ED3099"/>
    <w:rsid w:val="00EE50BB"/>
    <w:rsid w:val="00EF2CE8"/>
    <w:rsid w:val="00F21F2B"/>
    <w:rsid w:val="00F221D9"/>
    <w:rsid w:val="00F30B39"/>
    <w:rsid w:val="00F36BA2"/>
    <w:rsid w:val="00F44E06"/>
    <w:rsid w:val="00FB3505"/>
    <w:rsid w:val="00FE4933"/>
    <w:rsid w:val="00FF103D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B629"/>
  <w15:chartTrackingRefBased/>
  <w15:docId w15:val="{950C454A-71BA-4649-81D1-8B88B250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9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Darling</dc:creator>
  <cp:keywords/>
  <dc:description/>
  <cp:lastModifiedBy>Emily Darling</cp:lastModifiedBy>
  <cp:revision>3</cp:revision>
  <dcterms:created xsi:type="dcterms:W3CDTF">2019-02-25T20:17:00Z</dcterms:created>
  <dcterms:modified xsi:type="dcterms:W3CDTF">2019-02-25T21:39:00Z</dcterms:modified>
</cp:coreProperties>
</file>