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Bilan : </w:t>
      </w:r>
    </w:p>
    <w:p w:rsidR="00000000" w:rsidDel="00000000" w:rsidP="00000000" w:rsidRDefault="00000000" w:rsidRPr="00000000" w14:paraId="000000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Alimentation</w:t>
      </w:r>
    </w:p>
    <w:p w:rsidR="00000000" w:rsidDel="00000000" w:rsidP="00000000" w:rsidRDefault="00000000" w:rsidRPr="00000000" w14:paraId="00000003">
      <w:pPr>
        <w:ind w:left="708" w:firstLine="0"/>
        <w:rPr/>
      </w:pPr>
      <w:r w:rsidDel="00000000" w:rsidR="00000000" w:rsidRPr="00000000">
        <w:rPr>
          <w:rtl w:val="0"/>
        </w:rPr>
        <w:t xml:space="preserve">Idée : Le joueur réalise ses plats grâce à une sélection des aliments pour réaliser des recettes équilibrées, par la suite, une série de mini-jeux se débloque pour l’aider à la réalisation des plats.</w:t>
      </w:r>
    </w:p>
    <w:p w:rsidR="00000000" w:rsidDel="00000000" w:rsidP="00000000" w:rsidRDefault="00000000" w:rsidRPr="00000000" w14:paraId="00000004">
      <w:pPr>
        <w:ind w:left="708" w:firstLine="0"/>
        <w:rPr/>
      </w:pPr>
      <w:r w:rsidDel="00000000" w:rsidR="00000000" w:rsidRPr="00000000">
        <w:rPr>
          <w:rtl w:val="0"/>
        </w:rPr>
        <w:t xml:space="preserve">Liste d’assets : </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Personnages 2D : enfant, adolescent</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Ustensiles de cuisine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Aliments, plats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Salle : cuisine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Barre de complétion (Cuisine)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Livre de cuisine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Recettes bloquées, débloquées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 de données des recettes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Sons :</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78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Bruits des ustensiles </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78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Bruits d’ambiance</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78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Bruits de complétion</w:t>
      </w:r>
    </w:p>
    <w:p w:rsidR="00000000" w:rsidDel="00000000" w:rsidP="00000000" w:rsidRDefault="00000000" w:rsidRPr="00000000" w14:paraId="00000011">
      <w:pPr>
        <w:ind w:left="708" w:firstLine="0"/>
        <w:rPr/>
      </w:pPr>
      <w:r w:rsidDel="00000000" w:rsidR="00000000" w:rsidRPr="00000000">
        <w:rPr>
          <w:rtl w:val="0"/>
        </w:rPr>
        <w:t xml:space="preserve">Liste des fonctionnalités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Point’n Click</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 du rapport nutritionnel par rapport aux ingrédients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Sélection d’aliments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Interaction avec les ustensiles (Râper, couper, décaler)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Rotation caméra autour d’un plat</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Particules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 de données sur les recettes + Liens vers les recettes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Système de déblocage de recettes en fonction des précédents résultats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Texte de succès de recette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Système de sauvegarde des données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Blocage du lancement de la recette si le joueur obtient un mauvais équilibre nutritionnel</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Boucle sur la préparation des recettes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Système de lecture de son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Activité physique</w:t>
      </w:r>
    </w:p>
    <w:p w:rsidR="00000000" w:rsidDel="00000000" w:rsidP="00000000" w:rsidRDefault="00000000" w:rsidRPr="00000000" w14:paraId="00000021">
      <w:pPr>
        <w:ind w:left="708" w:firstLine="0"/>
        <w:rPr/>
      </w:pPr>
      <w:r w:rsidDel="00000000" w:rsidR="00000000" w:rsidRPr="00000000">
        <w:rPr>
          <w:rtl w:val="0"/>
        </w:rPr>
        <w:t xml:space="preserve">Idée : Le joueur doit effectuer un nombre de pas précis au cours de son aventure pour débloquer la suite de l’histoire et des succès.</w:t>
      </w:r>
    </w:p>
    <w:p w:rsidR="00000000" w:rsidDel="00000000" w:rsidP="00000000" w:rsidRDefault="00000000" w:rsidRPr="00000000" w14:paraId="00000022">
      <w:pPr>
        <w:ind w:left="708" w:firstLine="0"/>
        <w:rPr/>
      </w:pPr>
      <w:r w:rsidDel="00000000" w:rsidR="00000000" w:rsidRPr="00000000">
        <w:rPr>
          <w:rtl w:val="0"/>
        </w:rPr>
        <w:t xml:space="preserve">Liste d’assets :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Personnages 2D : enfant, adolescent</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Personnages secondaires : Mauvais plats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Lieux : Maison, école, rue, rêves, etc</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Barre de complétion</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Dialogue autour de l’histoire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Affichage du temps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Succès de complétion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Sons :</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78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Sons d’ambiance </w:t>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78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Sons de motivation</w:t>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78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Sons de succès + complétion </w:t>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78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Dialogues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6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ind w:left="708" w:firstLine="0"/>
        <w:rPr/>
      </w:pPr>
      <w:r w:rsidDel="00000000" w:rsidR="00000000" w:rsidRPr="00000000">
        <w:rPr>
          <w:rtl w:val="0"/>
        </w:rPr>
        <w:t xml:space="preserve">Liste des fonctionnalités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Système de dialogue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Animations des personnages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Barre de complétion avec avancement des personnages selon la vitesse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Système de déblocage de succès avec des conditions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Géolocalisation + podomètre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Système de chapitre avec obligation de terminer le chapitre précédent</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Affichage des succès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Possibilité de rejouer les chapitres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Système de sauvegarde des données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Reprise de la dernière activité</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Timer</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Système de lecture de son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Activité sédentaire</w:t>
      </w:r>
    </w:p>
    <w:p w:rsidR="00000000" w:rsidDel="00000000" w:rsidP="00000000" w:rsidRDefault="00000000" w:rsidRPr="00000000" w14:paraId="00000040">
      <w:pPr>
        <w:ind w:left="708" w:firstLine="0"/>
        <w:rPr/>
      </w:pPr>
      <w:r w:rsidDel="00000000" w:rsidR="00000000" w:rsidRPr="00000000">
        <w:rPr>
          <w:rtl w:val="0"/>
        </w:rPr>
        <w:t xml:space="preserve">Idée : Un jeu de société type questionnaire (Trivial Pursuit) sur les thèmes que le jeu souhaite promouvoir, la réussite d’une série de questions débloque les nouveaux questionnaires et les modes spéciaux. Les questionnaires seront également triés par niveaux de difficultés.</w:t>
      </w:r>
    </w:p>
    <w:p w:rsidR="00000000" w:rsidDel="00000000" w:rsidP="00000000" w:rsidRDefault="00000000" w:rsidRPr="00000000" w14:paraId="00000041">
      <w:pPr>
        <w:rPr/>
      </w:pPr>
      <w:r w:rsidDel="00000000" w:rsidR="00000000" w:rsidRPr="00000000">
        <w:rPr>
          <w:rtl w:val="0"/>
        </w:rPr>
        <w:tab/>
        <w:t xml:space="preserve">Liste des assets :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Carte quiz</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 de données des questions et des réponses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Affichage du temps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Texte de difficultés, questions et thèmes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Fond</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Ecran de fin session / score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Sons :</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78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Sons d’ambiance</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78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 timer</w:t>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78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 de fin de session</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78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Sons pour les questions (Validation, Refus)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ab/>
        <w:t xml:space="preserve">Liste des fonctionnalités :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Système de lecture de base de données pour les questions / réponses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Système de timer</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Affichage des cartes quiz avec les questions et les réponses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Affichage de la bonne réponse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Système de lecture de son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Animation de la carte qui tourne pour afficher la réponse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Planning : </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Contraintes</w:t>
      </w:r>
    </w:p>
    <w:p w:rsidR="00000000" w:rsidDel="00000000" w:rsidP="00000000" w:rsidRDefault="00000000" w:rsidRPr="00000000" w14:paraId="00000069">
      <w:pPr>
        <w:ind w:firstLine="708"/>
        <w:rPr/>
      </w:pPr>
      <w:r w:rsidDel="00000000" w:rsidR="00000000" w:rsidRPr="00000000">
        <w:rPr>
          <w:rtl w:val="0"/>
        </w:rPr>
        <w:t xml:space="preserve">Etat du projet à réaliser : Pre-Alpha, Alpha, Beta, Master, Release</w:t>
      </w:r>
    </w:p>
    <w:p w:rsidR="00000000" w:rsidDel="00000000" w:rsidP="00000000" w:rsidRDefault="00000000" w:rsidRPr="00000000" w14:paraId="0000006A">
      <w:pPr>
        <w:ind w:firstLine="708"/>
        <w:rPr/>
      </w:pPr>
      <w:r w:rsidDel="00000000" w:rsidR="00000000" w:rsidRPr="00000000">
        <w:rPr>
          <w:rtl w:val="0"/>
        </w:rPr>
        <w:t xml:space="preserve">12 mois maximum</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428"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w:t>
      </w:r>
    </w:p>
    <w:p w:rsidR="00000000" w:rsidDel="00000000" w:rsidP="00000000" w:rsidRDefault="00000000" w:rsidRPr="00000000" w14:paraId="0000006C">
      <w:pPr>
        <w:ind w:left="708" w:firstLine="0"/>
        <w:rPr/>
      </w:pPr>
      <w:r w:rsidDel="00000000" w:rsidR="00000000" w:rsidRPr="00000000">
        <w:rPr>
          <w:rtl w:val="0"/>
        </w:rPr>
        <w:t xml:space="preserve">La répartition des horaires sur les mini-jeux sera triées par le nombre de fonctionnalités et de complexité de chacun. </w:t>
      </w:r>
    </w:p>
    <w:p w:rsidR="00000000" w:rsidDel="00000000" w:rsidP="00000000" w:rsidRDefault="00000000" w:rsidRPr="00000000" w14:paraId="0000006D">
      <w:pPr>
        <w:ind w:left="708" w:firstLine="0"/>
        <w:rPr/>
      </w:pPr>
      <w:r w:rsidDel="00000000" w:rsidR="00000000" w:rsidRPr="00000000">
        <w:rPr>
          <w:rtl w:val="0"/>
        </w:rPr>
        <w:t xml:space="preserve">Pre-Alpha : Livrable dans un délai de 6 mois suivant le début du contrat, sont prévus trois mois pour le projet d’Alimentation, deux mois pour l’activité physique et un mois pour l’activité sédentaire. </w:t>
      </w:r>
    </w:p>
    <w:p w:rsidR="00000000" w:rsidDel="00000000" w:rsidP="00000000" w:rsidRDefault="00000000" w:rsidRPr="00000000" w14:paraId="0000006E">
      <w:pPr>
        <w:ind w:left="708" w:firstLine="0"/>
        <w:rPr/>
      </w:pPr>
      <w:r w:rsidDel="00000000" w:rsidR="00000000" w:rsidRPr="00000000">
        <w:rPr>
          <w:rtl w:val="0"/>
        </w:rPr>
        <w:t xml:space="preserve">Alpha : Livrable 2 mois après la Pre-Alpha du projet. L’alimentation représente 1 mois, tandis que l’activité physique représente 2 semaines ainsi que l’activité sédentaire.</w:t>
      </w:r>
    </w:p>
    <w:p w:rsidR="00000000" w:rsidDel="00000000" w:rsidP="00000000" w:rsidRDefault="00000000" w:rsidRPr="00000000" w14:paraId="0000006F">
      <w:pPr>
        <w:ind w:left="708" w:firstLine="0"/>
        <w:rPr/>
      </w:pPr>
      <w:r w:rsidDel="00000000" w:rsidR="00000000" w:rsidRPr="00000000">
        <w:rPr>
          <w:rtl w:val="0"/>
        </w:rPr>
        <w:t xml:space="preserve">Beta :  Livrable 2 mois après la Alpha du projet. L’alimentation représente 1 mois, tandis que l’activité physique représente 2 semaines ainsi que l’activité sédentaire.</w:t>
      </w:r>
    </w:p>
    <w:p w:rsidR="00000000" w:rsidDel="00000000" w:rsidP="00000000" w:rsidRDefault="00000000" w:rsidRPr="00000000" w14:paraId="00000070">
      <w:pPr>
        <w:ind w:left="708" w:firstLine="0"/>
        <w:rPr/>
      </w:pPr>
      <w:r w:rsidDel="00000000" w:rsidR="00000000" w:rsidRPr="00000000">
        <w:rPr>
          <w:rtl w:val="0"/>
        </w:rPr>
        <w:t xml:space="preserve">Master : 2 semaines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Proposition financière :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25"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Contraintes</w:t>
      </w:r>
    </w:p>
    <w:p w:rsidR="00000000" w:rsidDel="00000000" w:rsidP="00000000" w:rsidRDefault="00000000" w:rsidRPr="00000000" w14:paraId="00000074">
      <w:pPr>
        <w:ind w:left="705" w:firstLine="0"/>
        <w:rPr/>
      </w:pPr>
      <w:r w:rsidDel="00000000" w:rsidR="00000000" w:rsidRPr="00000000">
        <w:rPr>
          <w:rtl w:val="0"/>
        </w:rPr>
        <w:t xml:space="preserve">Jalon d’acompte / Le coût jour/homme – Hébergement – Licences – Maintenance – Pack communication </w:t>
      </w:r>
    </w:p>
    <w:tbl>
      <w:tblPr>
        <w:tblStyle w:val="Table1"/>
        <w:tblW w:w="8949.0" w:type="dxa"/>
        <w:jc w:val="left"/>
        <w:tblInd w:w="-168.0" w:type="dxa"/>
        <w:tblBorders>
          <w:top w:color="000000" w:space="0" w:sz="0" w:val="nil"/>
          <w:left w:color="000000" w:space="0" w:sz="0" w:val="nil"/>
          <w:bottom w:color="000000" w:space="0" w:sz="0" w:val="nil"/>
          <w:right w:color="000000" w:space="0" w:sz="0" w:val="nil"/>
        </w:tblBorders>
        <w:tblLayout w:type="fixed"/>
        <w:tblLook w:val="0000"/>
      </w:tblPr>
      <w:tblGrid>
        <w:gridCol w:w="2983"/>
        <w:gridCol w:w="2983"/>
        <w:gridCol w:w="2983"/>
        <w:tblGridChange w:id="0">
          <w:tblGrid>
            <w:gridCol w:w="2983"/>
            <w:gridCol w:w="2983"/>
            <w:gridCol w:w="2983"/>
          </w:tblGrid>
        </w:tblGridChange>
      </w:tblGrid>
      <w:tr>
        <w:trPr>
          <w:cantSplit w:val="0"/>
          <w:trHeight w:val="124" w:hRule="atLeast"/>
          <w:tblHeader w:val="0"/>
        </w:trPr>
        <w:tc>
          <w:tcPr>
            <w:tcBorders>
              <w:top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0"/>
                <w:strike w:val="0"/>
                <w:color w:val="252525"/>
                <w:sz w:val="23"/>
                <w:szCs w:val="23"/>
                <w:u w:val="none"/>
                <w:shd w:fill="auto" w:val="clear"/>
                <w:vertAlign w:val="baseline"/>
              </w:rPr>
            </w:pPr>
            <w:r w:rsidDel="00000000" w:rsidR="00000000" w:rsidRPr="00000000">
              <w:rPr>
                <w:rFonts w:ascii="Marianne" w:cs="Marianne" w:eastAsia="Marianne" w:hAnsi="Marianne"/>
                <w:b w:val="0"/>
                <w:i w:val="0"/>
                <w:smallCaps w:val="0"/>
                <w:strike w:val="0"/>
                <w:color w:val="252525"/>
                <w:sz w:val="23"/>
                <w:szCs w:val="23"/>
                <w:u w:val="none"/>
                <w:shd w:fill="auto" w:val="clear"/>
                <w:vertAlign w:val="baseline"/>
                <w:rtl w:val="0"/>
              </w:rPr>
              <w:t xml:space="preserve">Les jalons suivants feront l’objet d’un paiement d’Acompte Jalon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0"/>
                <w:strike w:val="0"/>
                <w:color w:val="252525"/>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Description </w:t>
            </w:r>
          </w:p>
        </w:tc>
        <w:tc>
          <w:tcPr>
            <w:tcBorders>
              <w:top w:color="000000" w:space="0" w:sz="0" w:val="nil"/>
              <w:left w:color="000000" w:space="0" w:sz="0" w:val="nil"/>
              <w:bottom w:color="000000" w:space="0" w:sz="0" w:val="nil"/>
            </w:tcBorders>
            <w:tcMar>
              <w:top w:w="0.0" w:type="dxa"/>
              <w:bottom w:w="0.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0"/>
                <w:strike w:val="0"/>
                <w:color w:val="252525"/>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Acompte </w:t>
            </w:r>
          </w:p>
        </w:tc>
      </w:tr>
      <w:tr>
        <w:trPr>
          <w:cantSplit w:val="0"/>
          <w:trHeight w:val="110" w:hRule="atLeast"/>
          <w:tblHeader w:val="0"/>
        </w:trPr>
        <w:tc>
          <w:tcPr>
            <w:tcBorders>
              <w:top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Démarrage du projet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0"/>
                <w:strike w:val="0"/>
                <w:color w:val="252525"/>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Le projet commence </w:t>
            </w:r>
          </w:p>
        </w:tc>
        <w:tc>
          <w:tcPr>
            <w:tcBorders>
              <w:top w:color="000000" w:space="0" w:sz="0" w:val="nil"/>
              <w:left w:color="000000" w:space="0" w:sz="0" w:val="nil"/>
              <w:bottom w:color="000000" w:space="0" w:sz="0" w:val="nil"/>
            </w:tcBorders>
            <w:tcMar>
              <w:top w:w="0.0" w:type="dxa"/>
              <w:bottom w:w="0.0" w:type="dxa"/>
            </w:tcM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0"/>
                <w:strike w:val="0"/>
                <w:color w:val="252525"/>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15% </w:t>
            </w:r>
          </w:p>
        </w:tc>
      </w:tr>
      <w:tr>
        <w:trPr>
          <w:cantSplit w:val="0"/>
          <w:trHeight w:val="262" w:hRule="atLeast"/>
          <w:tblHeader w:val="0"/>
        </w:trPr>
        <w:tc>
          <w:tcPr>
            <w:tcBorders>
              <w:top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Fin de la phase d’étude et de maquettage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Telle que décrite dans ce paragraphe </w:t>
            </w:r>
            <w:r w:rsidDel="00000000" w:rsidR="00000000" w:rsidRPr="00000000">
              <w:rPr>
                <w:rtl w:val="0"/>
              </w:rPr>
            </w:r>
          </w:p>
        </w:tc>
        <w:tc>
          <w:tcPr>
            <w:tcBorders>
              <w:top w:color="000000" w:space="0" w:sz="0" w:val="nil"/>
              <w:left w:color="000000" w:space="0" w:sz="0" w:val="nil"/>
              <w:bottom w:color="000000" w:space="0" w:sz="0" w:val="nil"/>
            </w:tcBorders>
            <w:tcMar>
              <w:top w:w="0.0" w:type="dxa"/>
              <w:bottom w:w="0.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0"/>
                <w:strike w:val="0"/>
                <w:color w:val="252525"/>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20% </w:t>
            </w:r>
          </w:p>
        </w:tc>
      </w:tr>
      <w:tr>
        <w:trPr>
          <w:cantSplit w:val="0"/>
          <w:trHeight w:val="415" w:hRule="atLeast"/>
          <w:tblHeader w:val="0"/>
        </w:trPr>
        <w:tc>
          <w:tcPr>
            <w:tcBorders>
              <w:top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Jalon intermédiaire (phase de production.)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Un des jalons de la phase de production. Ce jalon est à définir d’un commun accord entre le titulaire et l’ARS Réunion </w:t>
            </w:r>
            <w:r w:rsidDel="00000000" w:rsidR="00000000" w:rsidRPr="00000000">
              <w:rPr>
                <w:rtl w:val="0"/>
              </w:rPr>
            </w:r>
          </w:p>
        </w:tc>
        <w:tc>
          <w:tcPr>
            <w:tcBorders>
              <w:top w:color="000000" w:space="0" w:sz="0" w:val="nil"/>
              <w:left w:color="000000" w:space="0" w:sz="0" w:val="nil"/>
              <w:bottom w:color="000000" w:space="0" w:sz="0" w:val="nil"/>
            </w:tcBorders>
            <w:tcMar>
              <w:top w:w="0.0" w:type="dxa"/>
              <w:bottom w:w="0.0" w:type="dxa"/>
            </w:tcM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0"/>
                <w:strike w:val="0"/>
                <w:color w:val="252525"/>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25% </w:t>
            </w:r>
          </w:p>
        </w:tc>
      </w:tr>
      <w:tr>
        <w:trPr>
          <w:cantSplit w:val="0"/>
          <w:trHeight w:val="263" w:hRule="atLeast"/>
          <w:tblHeader w:val="0"/>
        </w:trPr>
        <w:tc>
          <w:tcPr>
            <w:tcBorders>
              <w:top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Livraison d’une version Alpha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0"/>
                <w:strike w:val="0"/>
                <w:color w:val="252525"/>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Telle que décrite dans ce paragraphe </w:t>
            </w:r>
          </w:p>
        </w:tc>
        <w:tc>
          <w:tcPr>
            <w:tcBorders>
              <w:top w:color="000000" w:space="0" w:sz="0" w:val="nil"/>
              <w:left w:color="000000" w:space="0" w:sz="0" w:val="nil"/>
              <w:bottom w:color="000000" w:space="0" w:sz="0" w:val="nil"/>
            </w:tcBorders>
            <w:tcMar>
              <w:top w:w="0.0" w:type="dxa"/>
              <w:bottom w:w="0.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0"/>
                <w:strike w:val="0"/>
                <w:color w:val="252525"/>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20% </w:t>
            </w:r>
          </w:p>
        </w:tc>
      </w:tr>
      <w:tr>
        <w:trPr>
          <w:cantSplit w:val="0"/>
          <w:trHeight w:val="110" w:hRule="atLeast"/>
          <w:tblHeader w:val="0"/>
        </w:trPr>
        <w:tc>
          <w:tcPr>
            <w:tcBorders>
              <w:top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0"/>
                <w:strike w:val="0"/>
                <w:color w:val="252525"/>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Release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0"/>
                <w:strike w:val="0"/>
                <w:color w:val="252525"/>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Telle que décrite dans ce paragraphe </w:t>
            </w:r>
          </w:p>
        </w:tc>
        <w:tc>
          <w:tcPr>
            <w:tcBorders>
              <w:top w:color="000000" w:space="0" w:sz="0" w:val="nil"/>
              <w:left w:color="000000" w:space="0" w:sz="0" w:val="nil"/>
              <w:bottom w:color="000000" w:space="0" w:sz="0" w:val="nil"/>
            </w:tcBorders>
            <w:tcMar>
              <w:top w:w="0.0" w:type="dxa"/>
              <w:bottom w:w="0.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0"/>
                <w:strike w:val="0"/>
                <w:color w:val="252525"/>
                <w:sz w:val="22"/>
                <w:szCs w:val="22"/>
                <w:u w:val="none"/>
                <w:shd w:fill="auto" w:val="clear"/>
                <w:vertAlign w:val="baseline"/>
              </w:rPr>
            </w:pPr>
            <w:r w:rsidDel="00000000" w:rsidR="00000000" w:rsidRPr="00000000">
              <w:rPr>
                <w:rFonts w:ascii="Marianne" w:cs="Marianne" w:eastAsia="Marianne" w:hAnsi="Marianne"/>
                <w:b w:val="0"/>
                <w:i w:val="0"/>
                <w:smallCaps w:val="0"/>
                <w:strike w:val="0"/>
                <w:color w:val="252525"/>
                <w:sz w:val="22"/>
                <w:szCs w:val="22"/>
                <w:u w:val="none"/>
                <w:shd w:fill="auto" w:val="clear"/>
                <w:vertAlign w:val="baseline"/>
                <w:rtl w:val="0"/>
              </w:rPr>
              <w:t xml:space="preserve">20% </w:t>
            </w:r>
          </w:p>
        </w:tc>
      </w:tr>
    </w:tbl>
    <w:p w:rsidR="00000000" w:rsidDel="00000000" w:rsidP="00000000" w:rsidRDefault="00000000" w:rsidRPr="00000000" w14:paraId="00000087">
      <w:pPr>
        <w:ind w:left="705"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 w:name="Mariann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1425" w:hanging="720"/>
      </w:pPr>
      <w:rPr/>
    </w:lvl>
    <w:lvl w:ilvl="1">
      <w:start w:val="1"/>
      <w:numFmt w:val="lowerLetter"/>
      <w:lvlText w:val="%2."/>
      <w:lvlJc w:val="left"/>
      <w:pPr>
        <w:ind w:left="1785" w:hanging="360"/>
      </w:pPr>
      <w:rPr/>
    </w:lvl>
    <w:lvl w:ilvl="2">
      <w:start w:val="1"/>
      <w:numFmt w:val="lowerRoman"/>
      <w:lvlText w:val="%3."/>
      <w:lvlJc w:val="right"/>
      <w:pPr>
        <w:ind w:left="2505" w:hanging="180"/>
      </w:pPr>
      <w:rPr/>
    </w:lvl>
    <w:lvl w:ilvl="3">
      <w:start w:val="1"/>
      <w:numFmt w:val="decimal"/>
      <w:lvlText w:val="%4."/>
      <w:lvlJc w:val="left"/>
      <w:pPr>
        <w:ind w:left="3225" w:hanging="360"/>
      </w:pPr>
      <w:rPr/>
    </w:lvl>
    <w:lvl w:ilvl="4">
      <w:start w:val="1"/>
      <w:numFmt w:val="lowerLetter"/>
      <w:lvlText w:val="%5."/>
      <w:lvlJc w:val="left"/>
      <w:pPr>
        <w:ind w:left="3945" w:hanging="360"/>
      </w:pPr>
      <w:rPr/>
    </w:lvl>
    <w:lvl w:ilvl="5">
      <w:start w:val="1"/>
      <w:numFmt w:val="lowerRoman"/>
      <w:lvlText w:val="%6."/>
      <w:lvlJc w:val="right"/>
      <w:pPr>
        <w:ind w:left="4665" w:hanging="180"/>
      </w:pPr>
      <w:rPr/>
    </w:lvl>
    <w:lvl w:ilvl="6">
      <w:start w:val="1"/>
      <w:numFmt w:val="decimal"/>
      <w:lvlText w:val="%7."/>
      <w:lvlJc w:val="left"/>
      <w:pPr>
        <w:ind w:left="5385" w:hanging="360"/>
      </w:pPr>
      <w:rPr/>
    </w:lvl>
    <w:lvl w:ilvl="7">
      <w:start w:val="1"/>
      <w:numFmt w:val="lowerLetter"/>
      <w:lvlText w:val="%8."/>
      <w:lvlJc w:val="left"/>
      <w:pPr>
        <w:ind w:left="6105" w:hanging="360"/>
      </w:pPr>
      <w:rPr/>
    </w:lvl>
    <w:lvl w:ilvl="8">
      <w:start w:val="1"/>
      <w:numFmt w:val="lowerRoman"/>
      <w:lvlText w:val="%9."/>
      <w:lvlJc w:val="right"/>
      <w:pPr>
        <w:ind w:left="6825" w:hanging="180"/>
      </w:pPr>
      <w:rPr/>
    </w:lvl>
  </w:abstractNum>
  <w:abstractNum w:abstractNumId="2">
    <w:lvl w:ilvl="0">
      <w:start w:val="11"/>
      <w:numFmt w:val="bullet"/>
      <w:lvlText w:val="-"/>
      <w:lvlJc w:val="left"/>
      <w:pPr>
        <w:ind w:left="1068" w:hanging="360"/>
      </w:pPr>
      <w:rPr>
        <w:rFonts w:ascii="Calibri" w:cs="Calibri" w:eastAsia="Calibri" w:hAnsi="Calibri"/>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3">
    <w:lvl w:ilvl="0">
      <w:start w:val="1"/>
      <w:numFmt w:val="upperRoman"/>
      <w:lvlText w:val="%1."/>
      <w:lvlJc w:val="left"/>
      <w:pPr>
        <w:ind w:left="1428" w:hanging="719.9999999999999"/>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4">
    <w:lvl w:ilvl="0">
      <w:start w:val="1"/>
      <w:numFmt w:val="upperRoman"/>
      <w:lvlText w:val="%1."/>
      <w:lvlJc w:val="left"/>
      <w:pPr>
        <w:ind w:left="1428" w:hanging="719.9999999999999"/>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253B0"/>
    <w:pPr>
      <w:ind w:left="720"/>
      <w:contextualSpacing w:val="1"/>
    </w:pPr>
  </w:style>
  <w:style w:type="paragraph" w:styleId="Default" w:customStyle="1">
    <w:name w:val="Default"/>
    <w:rsid w:val="000B5918"/>
    <w:pPr>
      <w:autoSpaceDE w:val="0"/>
      <w:autoSpaceDN w:val="0"/>
      <w:adjustRightInd w:val="0"/>
      <w:spacing w:after="0" w:line="240" w:lineRule="auto"/>
    </w:pPr>
    <w:rPr>
      <w:rFonts w:ascii="Times New Roman" w:cs="Times New Roman" w:hAnsi="Times New Roman"/>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PuRT32nzvmv9qhJ5y0OqNmafgA==">AMUW2mXLsqhQqjt9FSwqNhkylCnpINj8zWbkQZLl/s4M+DQgLhvkg5XgfqjyK4E5fEytNaxxe1z/gDgnKgPAn9BniPw00AzeP9BP03QmHC3xHcL3YB0Zv+c=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2022-09-21T12:46:00Z</dcterms:created>
  <dc:creator>DUFLOT Maxime</dc:creator>
</cp:coreProperties>
</file>