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ind w:left="2880" w:firstLine="720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ESE519 Project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Deliverables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Project Title: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Content reactive humanoid toy figures.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Team: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A. Stuart (Lead for Hardware (component selection, designing circuitry, mechanical design))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B. Sarath Vadakkepat (Lead for Communication)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C. Zairah Mustahsan (Lead for Media processing)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Deliverables: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Following are the actuation points in the toy -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Movable head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Hands - up and down movement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Lights and Sound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Following are the features -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Imitation of the content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Enable the child to respond to some instructions like picking up the toy, that changes the content accordingly.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Enable the toy to vocally articulate some instructions for the child.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Reactive content as reflection to child’s interaction with toy.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Attracting the kid to play with the toy.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