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0C3A" w14:textId="77777777" w:rsidR="002C0CCE" w:rsidRPr="002C0CCE" w:rsidRDefault="002C0CCE" w:rsidP="002C0CCE">
      <w:pPr>
        <w:rPr>
          <w:b/>
          <w:bCs/>
          <w:sz w:val="22"/>
          <w:szCs w:val="22"/>
        </w:rPr>
      </w:pPr>
      <w:r w:rsidRPr="002C0CCE">
        <w:rPr>
          <w:b/>
          <w:bCs/>
          <w:sz w:val="22"/>
          <w:szCs w:val="22"/>
        </w:rPr>
        <w:t>NRC (Normalized Concentration Ratio)</w:t>
      </w:r>
    </w:p>
    <w:p w14:paraId="7710F30B" w14:textId="77777777" w:rsidR="002C0CCE" w:rsidRPr="006B2749" w:rsidRDefault="002C0CCE" w:rsidP="002C0CCE">
      <w:pPr>
        <w:rPr>
          <w:sz w:val="18"/>
          <w:szCs w:val="18"/>
        </w:rPr>
      </w:pPr>
      <w:r w:rsidRPr="002C0CCE">
        <w:rPr>
          <w:sz w:val="18"/>
          <w:szCs w:val="18"/>
        </w:rPr>
        <w:t>The NRC is calculated using the formula:</w:t>
      </w:r>
    </w:p>
    <w:p w14:paraId="4E8F310D" w14:textId="371F1731" w:rsidR="002C0CCE" w:rsidRPr="002C0CCE" w:rsidRDefault="002C0CCE" w:rsidP="002C0CCE">
      <w:pPr>
        <w:jc w:val="center"/>
        <w:rPr>
          <w:rFonts w:eastAsiaTheme="minorEastAsia"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NRC=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HH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actual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-HH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HH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-HH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en>
          </m:f>
        </m:oMath>
      </m:oMathPara>
    </w:p>
    <w:p w14:paraId="6048F55D" w14:textId="66CF755D" w:rsidR="002C0CCE" w:rsidRPr="002C0CCE" w:rsidRDefault="002C0CCE" w:rsidP="002C0CCE">
      <w:pPr>
        <w:rPr>
          <w:sz w:val="20"/>
          <w:szCs w:val="20"/>
        </w:rPr>
      </w:pPr>
      <w:r w:rsidRPr="002C0CCE">
        <w:rPr>
          <w:sz w:val="18"/>
          <w:szCs w:val="18"/>
        </w:rPr>
        <w:t xml:space="preserve">This formula </w:t>
      </w:r>
      <w:r w:rsidR="006B2749">
        <w:rPr>
          <w:sz w:val="18"/>
          <w:szCs w:val="18"/>
        </w:rPr>
        <w:t xml:space="preserve">is </w:t>
      </w:r>
      <w:proofErr w:type="gramStart"/>
      <w:r w:rsidR="006B2749">
        <w:rPr>
          <w:sz w:val="18"/>
          <w:szCs w:val="18"/>
        </w:rPr>
        <w:t>similar to</w:t>
      </w:r>
      <w:proofErr w:type="gramEnd"/>
      <w:r w:rsidR="006B2749">
        <w:rPr>
          <w:sz w:val="18"/>
          <w:szCs w:val="18"/>
        </w:rPr>
        <w:t xml:space="preserve"> Min Max scaler. It fits </w:t>
      </w:r>
      <w:r w:rsidRPr="002C0CCE">
        <w:rPr>
          <w:sz w:val="18"/>
          <w:szCs w:val="18"/>
        </w:rPr>
        <w:t xml:space="preserve">the observed HHI value onto a scale from 0 to 1, representing the league's competitive balance relative to its theoretical </w:t>
      </w:r>
      <w:r w:rsidRPr="002C0CCE">
        <w:rPr>
          <w:sz w:val="20"/>
          <w:szCs w:val="20"/>
        </w:rPr>
        <w:t>minimum and maximum.</w:t>
      </w:r>
    </w:p>
    <w:p w14:paraId="69F9E11A" w14:textId="77777777" w:rsidR="002C0CCE" w:rsidRPr="002C0CCE" w:rsidRDefault="002C0CCE" w:rsidP="002C0CCE">
      <w:pPr>
        <w:rPr>
          <w:sz w:val="22"/>
          <w:szCs w:val="22"/>
        </w:rPr>
      </w:pPr>
      <w:r w:rsidRPr="002C0CCE">
        <w:rPr>
          <w:sz w:val="22"/>
          <w:szCs w:val="22"/>
        </w:rPr>
        <w:pict w14:anchorId="2DCD64C6">
          <v:rect id="_x0000_i1037" style="width:0;height:1.5pt" o:hralign="center" o:hrstd="t" o:hr="t" fillcolor="#a0a0a0" stroked="f"/>
        </w:pict>
      </w:r>
    </w:p>
    <w:p w14:paraId="323D8700" w14:textId="77777777" w:rsidR="002C0CCE" w:rsidRPr="002C0CCE" w:rsidRDefault="002C0CCE" w:rsidP="002C0CCE">
      <w:pPr>
        <w:rPr>
          <w:b/>
          <w:bCs/>
          <w:sz w:val="22"/>
          <w:szCs w:val="22"/>
        </w:rPr>
      </w:pPr>
      <w:r w:rsidRPr="002C0CCE">
        <w:rPr>
          <w:b/>
          <w:bCs/>
          <w:sz w:val="22"/>
          <w:szCs w:val="22"/>
        </w:rPr>
        <w:t>HHI (Herfindahl-Hirschman Index)</w:t>
      </w:r>
    </w:p>
    <w:p w14:paraId="7D70DBB2" w14:textId="77777777" w:rsidR="002C0CCE" w:rsidRPr="006B2749" w:rsidRDefault="002C0CCE" w:rsidP="002C0CCE">
      <w:pPr>
        <w:rPr>
          <w:sz w:val="18"/>
          <w:szCs w:val="18"/>
        </w:rPr>
      </w:pPr>
      <w:r w:rsidRPr="002C0CCE">
        <w:rPr>
          <w:sz w:val="18"/>
          <w:szCs w:val="18"/>
        </w:rPr>
        <w:t>The Herfindahl-Hirschman Index (HHI) is calculated by summing the squared percentage shares of each entity (in this case, each team's share of the total points). The general formula is:</w:t>
      </w:r>
    </w:p>
    <w:p w14:paraId="7183EDAF" w14:textId="658DF2AA" w:rsidR="002C0CCE" w:rsidRPr="006B2749" w:rsidRDefault="002C0CCE" w:rsidP="002C0CCE">
      <w:pPr>
        <w:rPr>
          <w:rFonts w:eastAsiaTheme="minorEastAsia"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HHI=</m:t>
          </m:r>
          <m:nary>
            <m:naryPr>
              <m:chr m:val="∑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i=1</m:t>
              </m: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100*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totalpoints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nary>
        </m:oMath>
      </m:oMathPara>
    </w:p>
    <w:p w14:paraId="1900638E" w14:textId="77777777" w:rsidR="002C0CCE" w:rsidRPr="002C0CCE" w:rsidRDefault="002C0CCE" w:rsidP="002C0CCE">
      <w:pPr>
        <w:rPr>
          <w:rFonts w:eastAsiaTheme="minorEastAsia"/>
          <w:sz w:val="18"/>
          <w:szCs w:val="18"/>
        </w:rPr>
      </w:pPr>
    </w:p>
    <w:p w14:paraId="6DA92D8D" w14:textId="2F71DD59" w:rsidR="002C0CCE" w:rsidRPr="002C0CCE" w:rsidRDefault="002C0CCE" w:rsidP="006B2749">
      <w:pPr>
        <w:rPr>
          <w:rFonts w:eastAsiaTheme="minorEastAsia"/>
          <w:sz w:val="18"/>
          <w:szCs w:val="18"/>
        </w:rPr>
      </w:pPr>
      <w:r w:rsidRPr="002C0CCE">
        <w:rPr>
          <w:sz w:val="18"/>
          <w:szCs w:val="18"/>
        </w:rPr>
        <w:t>Where</w:t>
      </w:r>
      <w:r w:rsidRPr="006B2749">
        <w:rPr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Pr="002C0CCE">
        <w:rPr>
          <w:sz w:val="18"/>
          <w:szCs w:val="18"/>
        </w:rPr>
        <w:t xml:space="preserve"> is the </w:t>
      </w:r>
      <w:r w:rsidRPr="006B2749">
        <w:rPr>
          <w:sz w:val="18"/>
          <w:szCs w:val="18"/>
        </w:rPr>
        <w:t xml:space="preserve">points of team </w:t>
      </w:r>
      <m:oMath>
        <m:r>
          <w:rPr>
            <w:rFonts w:ascii="Cambria Math" w:hAnsi="Cambria Math"/>
            <w:sz w:val="18"/>
            <w:szCs w:val="18"/>
          </w:rPr>
          <m:t>i</m:t>
        </m:r>
      </m:oMath>
      <w:r w:rsidRPr="002C0CCE">
        <w:rPr>
          <w:sz w:val="18"/>
          <w:szCs w:val="18"/>
        </w:rPr>
        <w:t>.</w:t>
      </w:r>
    </w:p>
    <w:p w14:paraId="0E457E06" w14:textId="77777777" w:rsidR="002C0CCE" w:rsidRPr="002C0CCE" w:rsidRDefault="002C0CCE" w:rsidP="002C0CCE">
      <w:pPr>
        <w:rPr>
          <w:sz w:val="18"/>
          <w:szCs w:val="18"/>
        </w:rPr>
      </w:pPr>
      <w:r w:rsidRPr="002C0CCE">
        <w:rPr>
          <w:sz w:val="18"/>
          <w:szCs w:val="18"/>
        </w:rPr>
        <w:t>For example, to calculate the minimum HHI, we assume perfect competitive balance where every game is a draw. Each of the 20 teams would earn 38 points, for a league total of 760 points.</w:t>
      </w:r>
    </w:p>
    <w:p w14:paraId="7B4DE013" w14:textId="097148F5" w:rsidR="002C0CCE" w:rsidRPr="002C0CCE" w:rsidRDefault="006B2749" w:rsidP="006B2749">
      <w:pPr>
        <w:ind w:left="720"/>
        <w:jc w:val="center"/>
        <w:rPr>
          <w:rFonts w:eastAsiaTheme="minorEastAsia"/>
          <w:sz w:val="18"/>
          <w:szCs w:val="18"/>
        </w:rPr>
      </w:pPr>
      <m:oMath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38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points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760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total points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×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100</m:t>
                </m:r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=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5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=25</m:t>
        </m:r>
      </m:oMath>
      <w:r w:rsidR="002C0CCE" w:rsidRPr="002C0CC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  <w:t>===&gt;</w:t>
      </w:r>
      <w:r w:rsidR="002C0CCE" w:rsidRPr="002C0CCE"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m:oMath>
        <m:r>
          <w:rPr>
            <w:rFonts w:ascii="Cambria Math" w:hAnsi="Cambria Math"/>
            <w:sz w:val="18"/>
            <w:szCs w:val="18"/>
          </w:rPr>
          <m:t xml:space="preserve">20 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×</m:t>
        </m:r>
        <m:r>
          <w:rPr>
            <w:rFonts w:ascii="Cambria Math" w:hAnsi="Cambria Math"/>
            <w:sz w:val="18"/>
            <w:szCs w:val="18"/>
          </w:rPr>
          <m:t>25 = 500</m:t>
        </m:r>
      </m:oMath>
      <w:r w:rsidR="002C0CCE" w:rsidRPr="002C0CCE">
        <w:rPr>
          <w:sz w:val="18"/>
          <w:szCs w:val="18"/>
        </w:rPr>
        <w:t>.</w:t>
      </w:r>
    </w:p>
    <w:p w14:paraId="759A3B59" w14:textId="77777777" w:rsidR="002C0CCE" w:rsidRPr="002C0CCE" w:rsidRDefault="002C0CCE" w:rsidP="002C0CCE">
      <w:pPr>
        <w:rPr>
          <w:sz w:val="18"/>
          <w:szCs w:val="18"/>
        </w:rPr>
      </w:pPr>
      <w:r w:rsidRPr="002C0CCE">
        <w:rPr>
          <w:sz w:val="18"/>
          <w:szCs w:val="18"/>
        </w:rPr>
        <w:t xml:space="preserve">The </w:t>
      </w:r>
      <w:r w:rsidRPr="002C0CCE">
        <w:rPr>
          <w:b/>
          <w:bCs/>
          <w:sz w:val="18"/>
          <w:szCs w:val="18"/>
        </w:rPr>
        <w:t>squaring operation</w:t>
      </w:r>
      <w:r w:rsidRPr="002C0CCE">
        <w:rPr>
          <w:sz w:val="18"/>
          <w:szCs w:val="18"/>
        </w:rPr>
        <w:t xml:space="preserve"> is critical because it gives disproportionately more weight to teams with larger point shares. This means the index is more sensitive to a few highly dominant teams than it is to an even distribution among many teams.</w:t>
      </w:r>
    </w:p>
    <w:p w14:paraId="38E3CEAD" w14:textId="77777777" w:rsidR="002C0CCE" w:rsidRPr="002C0CCE" w:rsidRDefault="002C0CCE" w:rsidP="002C0CCE">
      <w:pPr>
        <w:rPr>
          <w:sz w:val="22"/>
          <w:szCs w:val="22"/>
        </w:rPr>
      </w:pPr>
      <w:r w:rsidRPr="002C0CCE">
        <w:rPr>
          <w:sz w:val="22"/>
          <w:szCs w:val="22"/>
        </w:rPr>
        <w:pict w14:anchorId="3B9FC77D">
          <v:rect id="_x0000_i1038" style="width:0;height:1.5pt" o:hralign="center" o:hrstd="t" o:hr="t" fillcolor="#a0a0a0" stroked="f"/>
        </w:pict>
      </w:r>
    </w:p>
    <w:p w14:paraId="167C9ABE" w14:textId="77777777" w:rsidR="002C0CCE" w:rsidRPr="002C0CCE" w:rsidRDefault="002C0CCE" w:rsidP="002C0CCE">
      <w:pPr>
        <w:rPr>
          <w:b/>
          <w:bCs/>
          <w:sz w:val="22"/>
          <w:szCs w:val="22"/>
        </w:rPr>
      </w:pPr>
      <w:r w:rsidRPr="002C0CCE">
        <w:rPr>
          <w:b/>
          <w:bCs/>
          <w:sz w:val="22"/>
          <w:szCs w:val="22"/>
        </w:rPr>
        <w:t>Interpretation</w:t>
      </w:r>
    </w:p>
    <w:p w14:paraId="454920F9" w14:textId="678A94EB" w:rsidR="002C0CCE" w:rsidRPr="002C0CCE" w:rsidRDefault="002C0CCE" w:rsidP="006B2749">
      <w:pPr>
        <w:rPr>
          <w:sz w:val="18"/>
          <w:szCs w:val="18"/>
        </w:rPr>
      </w:pPr>
      <w:proofErr w:type="gramStart"/>
      <w:r w:rsidRPr="002C0CCE">
        <w:rPr>
          <w:sz w:val="18"/>
          <w:szCs w:val="18"/>
        </w:rPr>
        <w:t>Similar to</w:t>
      </w:r>
      <w:proofErr w:type="gramEnd"/>
      <w:r w:rsidRPr="002C0CCE">
        <w:rPr>
          <w:sz w:val="18"/>
          <w:szCs w:val="18"/>
        </w:rPr>
        <w:t xml:space="preserve"> standard deviation, the HHI is a measure of dispersion. If most points are </w:t>
      </w:r>
      <w:r w:rsidRPr="002C0CCE">
        <w:rPr>
          <w:b/>
          <w:bCs/>
          <w:sz w:val="18"/>
          <w:szCs w:val="18"/>
        </w:rPr>
        <w:t>concentrated within</w:t>
      </w:r>
      <w:r w:rsidRPr="002C0CCE">
        <w:rPr>
          <w:sz w:val="18"/>
          <w:szCs w:val="18"/>
        </w:rPr>
        <w:t xml:space="preserve"> a few teams, the HHI and NRC will be high, indicating low competitive balance. Conversely, if all teams have similar point totals, the HHI and NRC will be low, indicating </w:t>
      </w:r>
      <w:proofErr w:type="gramStart"/>
      <w:r w:rsidRPr="002C0CCE">
        <w:rPr>
          <w:sz w:val="18"/>
          <w:szCs w:val="18"/>
        </w:rPr>
        <w:t>high</w:t>
      </w:r>
      <w:proofErr w:type="gramEnd"/>
      <w:r w:rsidRPr="002C0CCE">
        <w:rPr>
          <w:sz w:val="18"/>
          <w:szCs w:val="18"/>
        </w:rPr>
        <w:t xml:space="preserve"> competitive balance.</w:t>
      </w:r>
      <w:r w:rsidR="006B2749" w:rsidRPr="006B2749">
        <w:rPr>
          <w:sz w:val="18"/>
          <w:szCs w:val="18"/>
        </w:rPr>
        <w:t xml:space="preserve"> </w:t>
      </w:r>
      <w:r w:rsidR="006B2749" w:rsidRPr="006B2749">
        <w:rPr>
          <w:sz w:val="18"/>
          <w:szCs w:val="18"/>
        </w:rPr>
        <w:t>A notable downside is how the index</w:t>
      </w:r>
      <w:r w:rsidR="006B2749" w:rsidRPr="006B2749">
        <w:rPr>
          <w:sz w:val="18"/>
          <w:szCs w:val="18"/>
        </w:rPr>
        <w:t xml:space="preserve"> rewards two </w:t>
      </w:r>
      <w:proofErr w:type="gramStart"/>
      <w:r w:rsidR="006B2749" w:rsidRPr="006B2749">
        <w:rPr>
          <w:sz w:val="18"/>
          <w:szCs w:val="18"/>
        </w:rPr>
        <w:t>teams</w:t>
      </w:r>
      <w:proofErr w:type="gramEnd"/>
      <w:r w:rsidR="006B2749" w:rsidRPr="006B2749">
        <w:rPr>
          <w:sz w:val="18"/>
          <w:szCs w:val="18"/>
        </w:rPr>
        <w:t xml:space="preserve"> drawing against each other. While, if two teams win against each other, the NRC index will be higher, indicating lower competitiveness.</w:t>
      </w:r>
    </w:p>
    <w:p w14:paraId="5359DE7D" w14:textId="71D259D6" w:rsidR="00025171" w:rsidRPr="006B2749" w:rsidRDefault="00025171" w:rsidP="002C0CCE">
      <w:pPr>
        <w:rPr>
          <w:sz w:val="22"/>
          <w:szCs w:val="22"/>
        </w:rPr>
      </w:pPr>
    </w:p>
    <w:p w14:paraId="61AE2373" w14:textId="77777777" w:rsidR="002C0CCE" w:rsidRPr="006B2749" w:rsidRDefault="002C0CCE" w:rsidP="002C0CCE">
      <w:pPr>
        <w:rPr>
          <w:sz w:val="22"/>
          <w:szCs w:val="22"/>
        </w:rPr>
      </w:pPr>
    </w:p>
    <w:p w14:paraId="4CBA844F" w14:textId="77777777" w:rsidR="002C0CCE" w:rsidRPr="006B2749" w:rsidRDefault="002C0CCE" w:rsidP="002C0CCE">
      <w:pPr>
        <w:rPr>
          <w:sz w:val="22"/>
          <w:szCs w:val="22"/>
        </w:rPr>
      </w:pPr>
    </w:p>
    <w:sectPr w:rsidR="002C0CCE" w:rsidRPr="006B2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48E"/>
    <w:multiLevelType w:val="multilevel"/>
    <w:tmpl w:val="1D50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35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CE"/>
    <w:rsid w:val="00025171"/>
    <w:rsid w:val="00173F27"/>
    <w:rsid w:val="001F0298"/>
    <w:rsid w:val="002C0CCE"/>
    <w:rsid w:val="003E4F18"/>
    <w:rsid w:val="00475F07"/>
    <w:rsid w:val="006B2749"/>
    <w:rsid w:val="00BC55E2"/>
    <w:rsid w:val="00EB51E3"/>
    <w:rsid w:val="00FB0FF4"/>
    <w:rsid w:val="00FE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1CA1"/>
  <w15:chartTrackingRefBased/>
  <w15:docId w15:val="{B3F8C6A5-DDAE-4B89-835D-E66252C8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CE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2C0CCE"/>
  </w:style>
  <w:style w:type="character" w:customStyle="1" w:styleId="mrel">
    <w:name w:val="mrel"/>
    <w:basedOn w:val="DefaultParagraphFont"/>
    <w:rsid w:val="002C0CCE"/>
  </w:style>
  <w:style w:type="character" w:customStyle="1" w:styleId="mop">
    <w:name w:val="mop"/>
    <w:basedOn w:val="DefaultParagraphFont"/>
    <w:rsid w:val="002C0CCE"/>
  </w:style>
  <w:style w:type="character" w:customStyle="1" w:styleId="vlist-s">
    <w:name w:val="vlist-s"/>
    <w:basedOn w:val="DefaultParagraphFont"/>
    <w:rsid w:val="002C0CCE"/>
  </w:style>
  <w:style w:type="character" w:customStyle="1" w:styleId="mopen">
    <w:name w:val="mopen"/>
    <w:basedOn w:val="DefaultParagraphFont"/>
    <w:rsid w:val="002C0CCE"/>
  </w:style>
  <w:style w:type="character" w:customStyle="1" w:styleId="mclose">
    <w:name w:val="mclose"/>
    <w:basedOn w:val="DefaultParagraphFont"/>
    <w:rsid w:val="002C0CCE"/>
  </w:style>
  <w:style w:type="character" w:customStyle="1" w:styleId="mbin">
    <w:name w:val="mbin"/>
    <w:basedOn w:val="DefaultParagraphFont"/>
    <w:rsid w:val="002C0CCE"/>
  </w:style>
  <w:style w:type="character" w:styleId="PlaceholderText">
    <w:name w:val="Placeholder Text"/>
    <w:basedOn w:val="DefaultParagraphFont"/>
    <w:uiPriority w:val="99"/>
    <w:semiHidden/>
    <w:rsid w:val="002C0C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1635</Characters>
  <Application>Microsoft Office Word</Application>
  <DocSecurity>0</DocSecurity>
  <Lines>49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Tasbas</dc:creator>
  <cp:keywords/>
  <dc:description/>
  <cp:lastModifiedBy>Ali Tasbas</cp:lastModifiedBy>
  <cp:revision>1</cp:revision>
  <dcterms:created xsi:type="dcterms:W3CDTF">2025-10-15T18:16:00Z</dcterms:created>
  <dcterms:modified xsi:type="dcterms:W3CDTF">2025-10-15T18:35:00Z</dcterms:modified>
</cp:coreProperties>
</file>