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73B9B" w14:textId="2C0CBE8C" w:rsidR="003E55A0" w:rsidRPr="0017793D" w:rsidRDefault="0017793D">
      <w:pPr>
        <w:rPr>
          <w:b/>
        </w:rPr>
      </w:pPr>
      <w:r w:rsidRPr="0017793D">
        <w:rPr>
          <w:b/>
        </w:rPr>
        <w:t>Exercise</w:t>
      </w:r>
      <w:r w:rsidR="0074528A">
        <w:rPr>
          <w:b/>
        </w:rPr>
        <w:t xml:space="preserve"> 5.1</w:t>
      </w:r>
      <w:bookmarkStart w:id="0" w:name="_GoBack"/>
      <w:bookmarkEnd w:id="0"/>
      <w:r w:rsidR="004728E4" w:rsidRPr="0017793D">
        <w:rPr>
          <w:b/>
        </w:rPr>
        <w:t>:</w:t>
      </w:r>
    </w:p>
    <w:p w14:paraId="48E12A28" w14:textId="77777777" w:rsidR="004728E4" w:rsidRDefault="004728E4"/>
    <w:p w14:paraId="20DEFBB6" w14:textId="77777777" w:rsidR="00872857" w:rsidRDefault="004D17F0" w:rsidP="00872857">
      <w:r>
        <w:t xml:space="preserve">The </w:t>
      </w:r>
      <w:r w:rsidR="00FA5F64">
        <w:t xml:space="preserve">HE-LHC operation would allow to push the energy frontier of the LHC to 27 TeV, but </w:t>
      </w:r>
      <w:r w:rsidR="00962D37">
        <w:t>avoiding to incur</w:t>
      </w:r>
      <w:r w:rsidR="00FA5F64">
        <w:t xml:space="preserve"> in some of the practical problems of the FCC-hh. </w:t>
      </w:r>
      <w:r w:rsidR="00895AB9">
        <w:t xml:space="preserve">The increased energy </w:t>
      </w:r>
      <w:r w:rsidR="00255D19">
        <w:t xml:space="preserve">allows to increase sensitivity to high mass new physics (e.g. SUSY particles, resonances, top-partners, ...). </w:t>
      </w:r>
      <w:r w:rsidR="00872857">
        <w:t>The high luminosity allows to increase sensitivity to light and weakly coupled new physics (e.g. Higgs couplings and self-coupling).</w:t>
      </w:r>
    </w:p>
    <w:p w14:paraId="340C1823" w14:textId="618ED79A" w:rsidR="009B0F5E" w:rsidRDefault="00872857" w:rsidP="00255D19">
      <w:r>
        <w:t>The access to SUSY is the most appealing feature of the HE-LHC, in fact</w:t>
      </w:r>
      <w:r w:rsidR="009B0F5E">
        <w:t xml:space="preserve"> the </w:t>
      </w:r>
      <w:r>
        <w:t>only fermion superpartner that can be eventually detected directly at the LHC energy with the statistic of tens of fb</w:t>
      </w:r>
      <w:r w:rsidRPr="00872857">
        <w:rPr>
          <w:vertAlign w:val="superscript"/>
        </w:rPr>
        <w:t>-1</w:t>
      </w:r>
      <w:r>
        <w:t xml:space="preserve"> is the gluino. All the other fermion superpartners with mass above 1 TeV can be detected at higher energies only.</w:t>
      </w:r>
    </w:p>
    <w:p w14:paraId="734199EF" w14:textId="77777777" w:rsidR="0017793D" w:rsidRDefault="0017793D"/>
    <w:p w14:paraId="0115B460" w14:textId="3B6D2541" w:rsidR="00FA5F64" w:rsidRDefault="009F29CE">
      <w:r>
        <w:t>The similarity of many aspects of the</w:t>
      </w:r>
      <w:r w:rsidR="00FC4D3E">
        <w:t xml:space="preserve"> HE-LHC </w:t>
      </w:r>
      <w:r>
        <w:t>with respect to the HL-LHC</w:t>
      </w:r>
      <w:r w:rsidR="00FC4D3E">
        <w:t>, including size,</w:t>
      </w:r>
      <w:r>
        <w:t>, assure that many of the required technologies will be already developed</w:t>
      </w:r>
      <w:r w:rsidR="00FC4D3E">
        <w:t xml:space="preserve"> at the start of the construction</w:t>
      </w:r>
      <w:r>
        <w:t>.</w:t>
      </w:r>
    </w:p>
    <w:p w14:paraId="49E4DEBA" w14:textId="77777777" w:rsidR="0017793D" w:rsidRDefault="0017793D"/>
    <w:p w14:paraId="0881E24C" w14:textId="6AC467B8" w:rsidR="00FA5F64" w:rsidRDefault="00FA5F64">
      <w:r>
        <w:t>The key beam parameters to compare the three projects are reported in the table below:</w:t>
      </w:r>
    </w:p>
    <w:p w14:paraId="0BCBED1E" w14:textId="77777777" w:rsidR="00547CD4" w:rsidRDefault="00547CD4"/>
    <w:tbl>
      <w:tblPr>
        <w:tblStyle w:val="TableGrid"/>
        <w:tblW w:w="0" w:type="auto"/>
        <w:tblLook w:val="04A0" w:firstRow="1" w:lastRow="0" w:firstColumn="1" w:lastColumn="0" w:noHBand="0" w:noVBand="1"/>
      </w:tblPr>
      <w:tblGrid>
        <w:gridCol w:w="2830"/>
        <w:gridCol w:w="1843"/>
        <w:gridCol w:w="1985"/>
        <w:gridCol w:w="1041"/>
        <w:gridCol w:w="86"/>
        <w:gridCol w:w="1128"/>
      </w:tblGrid>
      <w:tr w:rsidR="000D2561" w14:paraId="7848B203" w14:textId="77777777" w:rsidTr="000D2561">
        <w:tc>
          <w:tcPr>
            <w:tcW w:w="2830" w:type="dxa"/>
          </w:tcPr>
          <w:p w14:paraId="7BEF8771" w14:textId="17B47FB4" w:rsidR="00FA5F64" w:rsidRPr="00547CD4" w:rsidRDefault="00FA5F64">
            <w:pPr>
              <w:rPr>
                <w:b/>
              </w:rPr>
            </w:pPr>
            <w:r w:rsidRPr="00547CD4">
              <w:rPr>
                <w:b/>
              </w:rPr>
              <w:t>Parameter</w:t>
            </w:r>
          </w:p>
        </w:tc>
        <w:tc>
          <w:tcPr>
            <w:tcW w:w="1843" w:type="dxa"/>
          </w:tcPr>
          <w:p w14:paraId="2F2C068B" w14:textId="11FE0CC0" w:rsidR="00FA5F64" w:rsidRPr="00547CD4" w:rsidRDefault="00FA5F64" w:rsidP="00547CD4">
            <w:pPr>
              <w:jc w:val="center"/>
              <w:rPr>
                <w:b/>
              </w:rPr>
            </w:pPr>
            <w:r w:rsidRPr="00547CD4">
              <w:rPr>
                <w:b/>
              </w:rPr>
              <w:t>(HL) LHC</w:t>
            </w:r>
          </w:p>
        </w:tc>
        <w:tc>
          <w:tcPr>
            <w:tcW w:w="1985" w:type="dxa"/>
          </w:tcPr>
          <w:p w14:paraId="4703CC27" w14:textId="5A3BDB25" w:rsidR="00FA5F64" w:rsidRPr="00547CD4" w:rsidRDefault="00FA5F64" w:rsidP="00547CD4">
            <w:pPr>
              <w:jc w:val="center"/>
              <w:rPr>
                <w:b/>
              </w:rPr>
            </w:pPr>
            <w:r w:rsidRPr="00547CD4">
              <w:rPr>
                <w:b/>
              </w:rPr>
              <w:t>HE-LHC</w:t>
            </w:r>
          </w:p>
        </w:tc>
        <w:tc>
          <w:tcPr>
            <w:tcW w:w="2255" w:type="dxa"/>
            <w:gridSpan w:val="3"/>
          </w:tcPr>
          <w:p w14:paraId="77BBBCD8" w14:textId="4552F987" w:rsidR="00FA5F64" w:rsidRPr="00547CD4" w:rsidRDefault="00FA5F64" w:rsidP="00547CD4">
            <w:pPr>
              <w:jc w:val="center"/>
              <w:rPr>
                <w:b/>
              </w:rPr>
            </w:pPr>
            <w:r w:rsidRPr="00547CD4">
              <w:rPr>
                <w:b/>
              </w:rPr>
              <w:t>FCC-hh</w:t>
            </w:r>
          </w:p>
        </w:tc>
      </w:tr>
      <w:tr w:rsidR="000D2561" w:rsidRPr="00FA5F64" w14:paraId="03F30AA5" w14:textId="77777777" w:rsidTr="000D2561">
        <w:trPr>
          <w:trHeight w:val="311"/>
        </w:trPr>
        <w:tc>
          <w:tcPr>
            <w:tcW w:w="2830" w:type="dxa"/>
          </w:tcPr>
          <w:p w14:paraId="17E20D8F" w14:textId="57598575" w:rsidR="00FA5F64" w:rsidRPr="00FA5F64" w:rsidRDefault="00FA5F64">
            <w:pPr>
              <w:rPr>
                <w:rFonts w:ascii="Calibri" w:eastAsia="Times New Roman" w:hAnsi="Calibri" w:cs="Times New Roman"/>
              </w:rPr>
            </w:pPr>
            <w:r w:rsidRPr="00FA5F64">
              <w:rPr>
                <w:rFonts w:ascii="Calibri" w:hAnsi="Calibri"/>
              </w:rPr>
              <w:t xml:space="preserve"> </w:t>
            </w:r>
            <w:r w:rsidRPr="00FA5F64">
              <w:rPr>
                <w:rFonts w:ascii="Calibri" w:eastAsia="Times New Roman" w:hAnsi="Calibri" w:cs="Times New Roman"/>
              </w:rPr>
              <w:t>√s [TeV]</w:t>
            </w:r>
          </w:p>
        </w:tc>
        <w:tc>
          <w:tcPr>
            <w:tcW w:w="1843" w:type="dxa"/>
          </w:tcPr>
          <w:p w14:paraId="562EF326" w14:textId="6D274EF9" w:rsidR="00FA5F64" w:rsidRPr="00FA5F64" w:rsidRDefault="00FA5F64" w:rsidP="00547CD4">
            <w:pPr>
              <w:jc w:val="center"/>
              <w:rPr>
                <w:rFonts w:ascii="Calibri" w:hAnsi="Calibri"/>
              </w:rPr>
            </w:pPr>
            <w:r>
              <w:rPr>
                <w:rFonts w:ascii="Calibri" w:hAnsi="Calibri"/>
              </w:rPr>
              <w:t>14</w:t>
            </w:r>
          </w:p>
        </w:tc>
        <w:tc>
          <w:tcPr>
            <w:tcW w:w="1985" w:type="dxa"/>
          </w:tcPr>
          <w:p w14:paraId="6232EE97" w14:textId="180D877E" w:rsidR="00FA5F64" w:rsidRPr="00FA5F64" w:rsidRDefault="00FA5F64" w:rsidP="00547CD4">
            <w:pPr>
              <w:jc w:val="center"/>
              <w:rPr>
                <w:rFonts w:ascii="Calibri" w:hAnsi="Calibri"/>
              </w:rPr>
            </w:pPr>
            <w:r>
              <w:rPr>
                <w:rFonts w:ascii="Calibri" w:hAnsi="Calibri"/>
              </w:rPr>
              <w:t>27</w:t>
            </w:r>
          </w:p>
        </w:tc>
        <w:tc>
          <w:tcPr>
            <w:tcW w:w="2255" w:type="dxa"/>
            <w:gridSpan w:val="3"/>
          </w:tcPr>
          <w:p w14:paraId="56F80560" w14:textId="5A13A8F1" w:rsidR="00FA5F64" w:rsidRPr="00FA5F64" w:rsidRDefault="00FA5F64" w:rsidP="00547CD4">
            <w:pPr>
              <w:jc w:val="center"/>
              <w:rPr>
                <w:rFonts w:ascii="Calibri" w:hAnsi="Calibri"/>
              </w:rPr>
            </w:pPr>
            <w:r>
              <w:rPr>
                <w:rFonts w:ascii="Calibri" w:hAnsi="Calibri"/>
              </w:rPr>
              <w:t>100</w:t>
            </w:r>
          </w:p>
        </w:tc>
      </w:tr>
      <w:tr w:rsidR="000D2561" w:rsidRPr="00FA5F64" w14:paraId="34735442" w14:textId="77777777" w:rsidTr="000D2561">
        <w:trPr>
          <w:trHeight w:val="325"/>
        </w:trPr>
        <w:tc>
          <w:tcPr>
            <w:tcW w:w="2830" w:type="dxa"/>
          </w:tcPr>
          <w:p w14:paraId="1DEC1C75" w14:textId="4A9DC18F" w:rsidR="00FA5F64" w:rsidRPr="00FA5F64" w:rsidRDefault="00FA5F64">
            <w:pPr>
              <w:rPr>
                <w:rFonts w:ascii="Calibri" w:hAnsi="Calibri"/>
              </w:rPr>
            </w:pPr>
            <w:r>
              <w:rPr>
                <w:rFonts w:ascii="Calibri" w:hAnsi="Calibri"/>
              </w:rPr>
              <w:t>Dipole field [T]</w:t>
            </w:r>
          </w:p>
        </w:tc>
        <w:tc>
          <w:tcPr>
            <w:tcW w:w="1843" w:type="dxa"/>
          </w:tcPr>
          <w:p w14:paraId="060C770B" w14:textId="47C87FAA" w:rsidR="00FA5F64" w:rsidRPr="00FA5F64" w:rsidRDefault="00FA5F64" w:rsidP="00547CD4">
            <w:pPr>
              <w:jc w:val="center"/>
              <w:rPr>
                <w:rFonts w:ascii="Calibri" w:hAnsi="Calibri"/>
              </w:rPr>
            </w:pPr>
            <w:r>
              <w:rPr>
                <w:rFonts w:ascii="Calibri" w:hAnsi="Calibri"/>
              </w:rPr>
              <w:t>8.3</w:t>
            </w:r>
          </w:p>
        </w:tc>
        <w:tc>
          <w:tcPr>
            <w:tcW w:w="1985" w:type="dxa"/>
          </w:tcPr>
          <w:p w14:paraId="273F9FDD" w14:textId="197CAB51" w:rsidR="00FA5F64" w:rsidRPr="00FA5F64" w:rsidRDefault="00FA5F64" w:rsidP="00547CD4">
            <w:pPr>
              <w:jc w:val="center"/>
              <w:rPr>
                <w:rFonts w:ascii="Calibri" w:hAnsi="Calibri"/>
              </w:rPr>
            </w:pPr>
            <w:r>
              <w:rPr>
                <w:rFonts w:ascii="Calibri" w:hAnsi="Calibri"/>
              </w:rPr>
              <w:t>16</w:t>
            </w:r>
          </w:p>
        </w:tc>
        <w:tc>
          <w:tcPr>
            <w:tcW w:w="2255" w:type="dxa"/>
            <w:gridSpan w:val="3"/>
          </w:tcPr>
          <w:p w14:paraId="4EE4A3F9" w14:textId="4A4BCBDE" w:rsidR="00FA5F64" w:rsidRPr="00FA5F64" w:rsidRDefault="00FA5F64" w:rsidP="00547CD4">
            <w:pPr>
              <w:jc w:val="center"/>
              <w:rPr>
                <w:rFonts w:ascii="Calibri" w:hAnsi="Calibri"/>
              </w:rPr>
            </w:pPr>
            <w:r>
              <w:rPr>
                <w:rFonts w:ascii="Calibri" w:hAnsi="Calibri"/>
              </w:rPr>
              <w:t>16</w:t>
            </w:r>
          </w:p>
        </w:tc>
      </w:tr>
      <w:tr w:rsidR="000D2561" w:rsidRPr="00FA5F64" w14:paraId="5FC75EA4" w14:textId="77777777" w:rsidTr="000D2561">
        <w:tc>
          <w:tcPr>
            <w:tcW w:w="2830" w:type="dxa"/>
          </w:tcPr>
          <w:p w14:paraId="477448C9" w14:textId="6EF92EDF" w:rsidR="00FA5F64" w:rsidRPr="00FA5F64" w:rsidRDefault="00FA5F64">
            <w:pPr>
              <w:rPr>
                <w:rFonts w:ascii="Calibri" w:hAnsi="Calibri"/>
              </w:rPr>
            </w:pPr>
            <w:r>
              <w:rPr>
                <w:rFonts w:ascii="Calibri" w:hAnsi="Calibri"/>
              </w:rPr>
              <w:t>Bunch intensity [10</w:t>
            </w:r>
            <w:r w:rsidRPr="00FA5F64">
              <w:rPr>
                <w:rFonts w:ascii="Calibri" w:hAnsi="Calibri"/>
                <w:vertAlign w:val="superscript"/>
              </w:rPr>
              <w:t>11</w:t>
            </w:r>
            <w:r>
              <w:rPr>
                <w:rFonts w:ascii="Calibri" w:hAnsi="Calibri"/>
              </w:rPr>
              <w:t>]</w:t>
            </w:r>
          </w:p>
        </w:tc>
        <w:tc>
          <w:tcPr>
            <w:tcW w:w="1843" w:type="dxa"/>
          </w:tcPr>
          <w:p w14:paraId="53191492" w14:textId="531C0D8D" w:rsidR="00FA5F64" w:rsidRPr="00FA5F64" w:rsidRDefault="00FA5F64" w:rsidP="00547CD4">
            <w:pPr>
              <w:jc w:val="center"/>
              <w:rPr>
                <w:rFonts w:ascii="Calibri" w:hAnsi="Calibri"/>
              </w:rPr>
            </w:pPr>
            <w:r>
              <w:rPr>
                <w:rFonts w:ascii="Calibri" w:hAnsi="Calibri"/>
              </w:rPr>
              <w:t>(2.2) 1.15</w:t>
            </w:r>
          </w:p>
        </w:tc>
        <w:tc>
          <w:tcPr>
            <w:tcW w:w="1985" w:type="dxa"/>
          </w:tcPr>
          <w:p w14:paraId="0436FECF" w14:textId="7640C3A5" w:rsidR="00FA5F64" w:rsidRPr="00FA5F64" w:rsidRDefault="00FA5F64" w:rsidP="00547CD4">
            <w:pPr>
              <w:jc w:val="center"/>
              <w:rPr>
                <w:rFonts w:ascii="Calibri" w:hAnsi="Calibri"/>
              </w:rPr>
            </w:pPr>
            <w:r>
              <w:rPr>
                <w:rFonts w:ascii="Calibri" w:hAnsi="Calibri"/>
              </w:rPr>
              <w:t>2.2</w:t>
            </w:r>
          </w:p>
        </w:tc>
        <w:tc>
          <w:tcPr>
            <w:tcW w:w="2255" w:type="dxa"/>
            <w:gridSpan w:val="3"/>
          </w:tcPr>
          <w:p w14:paraId="4CD9EF8A" w14:textId="24DF6CAD" w:rsidR="00FA5F64" w:rsidRPr="00FA5F64" w:rsidRDefault="00547CD4" w:rsidP="00547CD4">
            <w:pPr>
              <w:jc w:val="center"/>
              <w:rPr>
                <w:rFonts w:ascii="Calibri" w:hAnsi="Calibri"/>
              </w:rPr>
            </w:pPr>
            <w:r>
              <w:rPr>
                <w:rFonts w:ascii="Calibri" w:hAnsi="Calibri"/>
              </w:rPr>
              <w:t>1 (0.5)</w:t>
            </w:r>
          </w:p>
        </w:tc>
      </w:tr>
      <w:tr w:rsidR="000D2561" w:rsidRPr="00FA5F64" w14:paraId="3617ABB9" w14:textId="77777777" w:rsidTr="000D2561">
        <w:tc>
          <w:tcPr>
            <w:tcW w:w="2830" w:type="dxa"/>
          </w:tcPr>
          <w:p w14:paraId="7E86ADCA" w14:textId="2FDDB8BF" w:rsidR="00FA5F64" w:rsidRPr="00FA5F64" w:rsidRDefault="00547CD4">
            <w:pPr>
              <w:rPr>
                <w:rFonts w:ascii="Calibri" w:hAnsi="Calibri"/>
              </w:rPr>
            </w:pPr>
            <w:r>
              <w:rPr>
                <w:rFonts w:ascii="Calibri" w:hAnsi="Calibri"/>
              </w:rPr>
              <w:t>Bunch spacing [ns]</w:t>
            </w:r>
          </w:p>
        </w:tc>
        <w:tc>
          <w:tcPr>
            <w:tcW w:w="1843" w:type="dxa"/>
          </w:tcPr>
          <w:p w14:paraId="0FC61406" w14:textId="68053D38" w:rsidR="00FA5F64" w:rsidRPr="00FA5F64" w:rsidRDefault="00547CD4" w:rsidP="00547CD4">
            <w:pPr>
              <w:jc w:val="center"/>
              <w:rPr>
                <w:rFonts w:ascii="Calibri" w:hAnsi="Calibri"/>
              </w:rPr>
            </w:pPr>
            <w:r>
              <w:rPr>
                <w:rFonts w:ascii="Calibri" w:hAnsi="Calibri"/>
              </w:rPr>
              <w:t>25</w:t>
            </w:r>
          </w:p>
        </w:tc>
        <w:tc>
          <w:tcPr>
            <w:tcW w:w="1985" w:type="dxa"/>
          </w:tcPr>
          <w:p w14:paraId="3CFAE48D" w14:textId="27CEB49C" w:rsidR="00FA5F64" w:rsidRPr="00FA5F64" w:rsidRDefault="00547CD4" w:rsidP="00547CD4">
            <w:pPr>
              <w:jc w:val="center"/>
              <w:rPr>
                <w:rFonts w:ascii="Calibri" w:hAnsi="Calibri"/>
              </w:rPr>
            </w:pPr>
            <w:r>
              <w:rPr>
                <w:rFonts w:ascii="Calibri" w:hAnsi="Calibri"/>
              </w:rPr>
              <w:t>25 (12.5)</w:t>
            </w:r>
          </w:p>
        </w:tc>
        <w:tc>
          <w:tcPr>
            <w:tcW w:w="2255" w:type="dxa"/>
            <w:gridSpan w:val="3"/>
          </w:tcPr>
          <w:p w14:paraId="001EBBCF" w14:textId="7AD95586" w:rsidR="00FA5F64" w:rsidRPr="00FA5F64" w:rsidRDefault="00547CD4" w:rsidP="00547CD4">
            <w:pPr>
              <w:jc w:val="center"/>
              <w:rPr>
                <w:rFonts w:ascii="Calibri" w:hAnsi="Calibri"/>
              </w:rPr>
            </w:pPr>
            <w:r>
              <w:rPr>
                <w:rFonts w:ascii="Calibri" w:hAnsi="Calibri"/>
              </w:rPr>
              <w:t>25 (12.5)</w:t>
            </w:r>
          </w:p>
        </w:tc>
      </w:tr>
      <w:tr w:rsidR="000D2561" w:rsidRPr="00FA5F64" w14:paraId="73C9970B" w14:textId="77777777" w:rsidTr="000D2561">
        <w:tc>
          <w:tcPr>
            <w:tcW w:w="2830" w:type="dxa"/>
          </w:tcPr>
          <w:p w14:paraId="4523A28A" w14:textId="047A0FC9" w:rsidR="00FA5F64" w:rsidRPr="00547CD4" w:rsidRDefault="00547CD4">
            <w:pPr>
              <w:rPr>
                <w:rFonts w:ascii="Times New Roman" w:eastAsia="Times New Roman" w:hAnsi="Times New Roman" w:cs="Times New Roman"/>
              </w:rPr>
            </w:pPr>
            <w:r>
              <w:rPr>
                <w:rFonts w:ascii="Calibri" w:hAnsi="Calibri"/>
              </w:rPr>
              <w:t>Norm. emittance [</w:t>
            </w:r>
            <w:r w:rsidRPr="00547CD4">
              <w:rPr>
                <w:rFonts w:ascii="Calibri" w:eastAsia="Times New Roman" w:hAnsi="Calibri" w:cs="Times New Roman"/>
                <w:bCs/>
              </w:rPr>
              <w:t>μ</w:t>
            </w:r>
            <w:r w:rsidRPr="00547CD4">
              <w:rPr>
                <w:rFonts w:ascii="Calibri" w:eastAsia="Times New Roman" w:hAnsi="Calibri" w:cs="Times New Roman"/>
              </w:rPr>
              <w:t>m</w:t>
            </w:r>
            <w:r>
              <w:rPr>
                <w:rFonts w:ascii="Calibri" w:hAnsi="Calibri"/>
              </w:rPr>
              <w:t>]</w:t>
            </w:r>
          </w:p>
        </w:tc>
        <w:tc>
          <w:tcPr>
            <w:tcW w:w="1843" w:type="dxa"/>
          </w:tcPr>
          <w:p w14:paraId="031F5131" w14:textId="6B32C81C" w:rsidR="00FA5F64" w:rsidRPr="00FA5F64" w:rsidRDefault="00547CD4" w:rsidP="00547CD4">
            <w:pPr>
              <w:jc w:val="center"/>
              <w:rPr>
                <w:rFonts w:ascii="Calibri" w:hAnsi="Calibri"/>
              </w:rPr>
            </w:pPr>
            <w:r>
              <w:rPr>
                <w:rFonts w:ascii="Calibri" w:hAnsi="Calibri"/>
              </w:rPr>
              <w:t>(2.5) 3.75</w:t>
            </w:r>
          </w:p>
        </w:tc>
        <w:tc>
          <w:tcPr>
            <w:tcW w:w="1985" w:type="dxa"/>
          </w:tcPr>
          <w:p w14:paraId="637A7C19" w14:textId="5A8D51D1" w:rsidR="00FA5F64" w:rsidRPr="00FA5F64" w:rsidRDefault="00547CD4" w:rsidP="00547CD4">
            <w:pPr>
              <w:jc w:val="center"/>
              <w:rPr>
                <w:rFonts w:ascii="Calibri" w:hAnsi="Calibri"/>
              </w:rPr>
            </w:pPr>
            <w:r>
              <w:rPr>
                <w:rFonts w:ascii="Calibri" w:hAnsi="Calibri"/>
              </w:rPr>
              <w:t>2.5 (1.25)</w:t>
            </w:r>
          </w:p>
        </w:tc>
        <w:tc>
          <w:tcPr>
            <w:tcW w:w="2255" w:type="dxa"/>
            <w:gridSpan w:val="3"/>
          </w:tcPr>
          <w:p w14:paraId="6CF7A6DE" w14:textId="65A145A4" w:rsidR="00FA5F64" w:rsidRPr="00FA5F64" w:rsidRDefault="00547CD4" w:rsidP="00547CD4">
            <w:pPr>
              <w:jc w:val="center"/>
              <w:rPr>
                <w:rFonts w:ascii="Calibri" w:hAnsi="Calibri"/>
              </w:rPr>
            </w:pPr>
            <w:r>
              <w:rPr>
                <w:rFonts w:ascii="Calibri" w:hAnsi="Calibri"/>
              </w:rPr>
              <w:t>2.2 (2.2)</w:t>
            </w:r>
          </w:p>
        </w:tc>
      </w:tr>
      <w:tr w:rsidR="000D2561" w:rsidRPr="00FA5F64" w14:paraId="7A98F65B" w14:textId="77777777" w:rsidTr="000D2561">
        <w:tc>
          <w:tcPr>
            <w:tcW w:w="2830" w:type="dxa"/>
          </w:tcPr>
          <w:p w14:paraId="1551A267" w14:textId="4CA6887B" w:rsidR="000D2561" w:rsidRPr="00547CD4" w:rsidRDefault="000D2561">
            <w:pPr>
              <w:rPr>
                <w:rFonts w:ascii="Calibri" w:eastAsia="Times New Roman" w:hAnsi="Calibri" w:cs="Times New Roman"/>
              </w:rPr>
            </w:pPr>
            <w:r w:rsidRPr="00547CD4">
              <w:rPr>
                <w:rFonts w:ascii="Calibri" w:hAnsi="Calibri"/>
              </w:rPr>
              <w:t xml:space="preserve">IP </w:t>
            </w:r>
            <w:r w:rsidRPr="00547CD4">
              <w:rPr>
                <w:rFonts w:ascii="Calibri" w:eastAsia="Times New Roman" w:hAnsi="Calibri" w:cs="Times New Roman"/>
              </w:rPr>
              <w:t>β* [m]</w:t>
            </w:r>
          </w:p>
        </w:tc>
        <w:tc>
          <w:tcPr>
            <w:tcW w:w="1843" w:type="dxa"/>
          </w:tcPr>
          <w:p w14:paraId="77CFF7DF" w14:textId="2BCEB805" w:rsidR="000D2561" w:rsidRDefault="000D2561" w:rsidP="00547CD4">
            <w:pPr>
              <w:jc w:val="center"/>
              <w:rPr>
                <w:rFonts w:ascii="Calibri" w:hAnsi="Calibri"/>
              </w:rPr>
            </w:pPr>
            <w:r>
              <w:rPr>
                <w:rFonts w:ascii="Calibri" w:hAnsi="Calibri"/>
              </w:rPr>
              <w:t>0.3</w:t>
            </w:r>
          </w:p>
        </w:tc>
        <w:tc>
          <w:tcPr>
            <w:tcW w:w="1985" w:type="dxa"/>
          </w:tcPr>
          <w:p w14:paraId="00651788" w14:textId="3476606C" w:rsidR="000D2561" w:rsidRDefault="000D2561" w:rsidP="00547CD4">
            <w:pPr>
              <w:jc w:val="center"/>
              <w:rPr>
                <w:rFonts w:ascii="Calibri" w:hAnsi="Calibri"/>
              </w:rPr>
            </w:pPr>
            <w:r>
              <w:rPr>
                <w:rFonts w:ascii="Calibri" w:hAnsi="Calibri"/>
              </w:rPr>
              <w:t>0.25</w:t>
            </w:r>
          </w:p>
        </w:tc>
        <w:tc>
          <w:tcPr>
            <w:tcW w:w="1041" w:type="dxa"/>
          </w:tcPr>
          <w:p w14:paraId="42C879E3" w14:textId="77777777" w:rsidR="000D2561" w:rsidRDefault="000D2561" w:rsidP="00547CD4">
            <w:pPr>
              <w:jc w:val="center"/>
              <w:rPr>
                <w:rFonts w:ascii="Calibri" w:hAnsi="Calibri"/>
              </w:rPr>
            </w:pPr>
            <w:r>
              <w:rPr>
                <w:rFonts w:ascii="Calibri" w:hAnsi="Calibri"/>
              </w:rPr>
              <w:t>1.1</w:t>
            </w:r>
          </w:p>
        </w:tc>
        <w:tc>
          <w:tcPr>
            <w:tcW w:w="1214" w:type="dxa"/>
            <w:gridSpan w:val="2"/>
          </w:tcPr>
          <w:p w14:paraId="41447713" w14:textId="1FF8D9AD" w:rsidR="000D2561" w:rsidRDefault="000D2561" w:rsidP="00547CD4">
            <w:pPr>
              <w:jc w:val="center"/>
              <w:rPr>
                <w:rFonts w:ascii="Calibri" w:hAnsi="Calibri"/>
              </w:rPr>
            </w:pPr>
            <w:r>
              <w:rPr>
                <w:rFonts w:ascii="Calibri" w:hAnsi="Calibri"/>
              </w:rPr>
              <w:t>0.3</w:t>
            </w:r>
          </w:p>
        </w:tc>
      </w:tr>
      <w:tr w:rsidR="000D2561" w:rsidRPr="00FA5F64" w14:paraId="5B8B7365" w14:textId="77777777" w:rsidTr="000D2561">
        <w:tc>
          <w:tcPr>
            <w:tcW w:w="2830" w:type="dxa"/>
          </w:tcPr>
          <w:p w14:paraId="02897B33" w14:textId="7586E60A" w:rsidR="000D2561" w:rsidRDefault="000D2561">
            <w:pPr>
              <w:rPr>
                <w:rFonts w:ascii="Calibri" w:hAnsi="Calibri"/>
              </w:rPr>
            </w:pPr>
            <w:r>
              <w:rPr>
                <w:rFonts w:ascii="Calibri" w:hAnsi="Calibri"/>
              </w:rPr>
              <w:t>Luminosity [10</w:t>
            </w:r>
            <w:r w:rsidRPr="00547CD4">
              <w:rPr>
                <w:rFonts w:ascii="Calibri" w:hAnsi="Calibri"/>
                <w:vertAlign w:val="superscript"/>
              </w:rPr>
              <w:t>34</w:t>
            </w:r>
            <w:r>
              <w:rPr>
                <w:rFonts w:ascii="Calibri" w:hAnsi="Calibri"/>
              </w:rPr>
              <w:t xml:space="preserve"> cm</w:t>
            </w:r>
            <w:r w:rsidRPr="00547CD4">
              <w:rPr>
                <w:rFonts w:ascii="Calibri" w:hAnsi="Calibri"/>
                <w:vertAlign w:val="superscript"/>
              </w:rPr>
              <w:t>-2</w:t>
            </w:r>
            <w:r>
              <w:rPr>
                <w:rFonts w:ascii="Calibri" w:hAnsi="Calibri"/>
              </w:rPr>
              <w:t>s</w:t>
            </w:r>
            <w:r w:rsidRPr="00547CD4">
              <w:rPr>
                <w:rFonts w:ascii="Calibri" w:hAnsi="Calibri"/>
                <w:vertAlign w:val="superscript"/>
              </w:rPr>
              <w:t>-1</w:t>
            </w:r>
            <w:r>
              <w:rPr>
                <w:rFonts w:ascii="Calibri" w:hAnsi="Calibri"/>
              </w:rPr>
              <w:t>]</w:t>
            </w:r>
          </w:p>
        </w:tc>
        <w:tc>
          <w:tcPr>
            <w:tcW w:w="1843" w:type="dxa"/>
          </w:tcPr>
          <w:p w14:paraId="6F47F6F7" w14:textId="0E56366A" w:rsidR="000D2561" w:rsidRDefault="000D2561" w:rsidP="00547CD4">
            <w:pPr>
              <w:jc w:val="center"/>
              <w:rPr>
                <w:rFonts w:ascii="Calibri" w:hAnsi="Calibri"/>
              </w:rPr>
            </w:pPr>
            <w:r>
              <w:rPr>
                <w:rFonts w:ascii="Calibri" w:hAnsi="Calibri"/>
              </w:rPr>
              <w:t>(5) 1</w:t>
            </w:r>
          </w:p>
        </w:tc>
        <w:tc>
          <w:tcPr>
            <w:tcW w:w="1985" w:type="dxa"/>
          </w:tcPr>
          <w:p w14:paraId="36DA5EB7" w14:textId="5994A76A" w:rsidR="000D2561" w:rsidRDefault="000D2561" w:rsidP="00F14832">
            <w:pPr>
              <w:jc w:val="center"/>
              <w:rPr>
                <w:rFonts w:ascii="Calibri" w:hAnsi="Calibri"/>
              </w:rPr>
            </w:pPr>
            <w:r>
              <w:rPr>
                <w:rFonts w:ascii="Calibri" w:hAnsi="Calibri"/>
              </w:rPr>
              <w:t>25</w:t>
            </w:r>
          </w:p>
        </w:tc>
        <w:tc>
          <w:tcPr>
            <w:tcW w:w="1041" w:type="dxa"/>
          </w:tcPr>
          <w:p w14:paraId="7BFED4C5" w14:textId="77777777" w:rsidR="000D2561" w:rsidRDefault="000D2561" w:rsidP="00547CD4">
            <w:pPr>
              <w:jc w:val="center"/>
              <w:rPr>
                <w:rFonts w:ascii="Calibri" w:hAnsi="Calibri"/>
              </w:rPr>
            </w:pPr>
            <w:r>
              <w:rPr>
                <w:rFonts w:ascii="Calibri" w:hAnsi="Calibri"/>
              </w:rPr>
              <w:t>5</w:t>
            </w:r>
          </w:p>
        </w:tc>
        <w:tc>
          <w:tcPr>
            <w:tcW w:w="1214" w:type="dxa"/>
            <w:gridSpan w:val="2"/>
          </w:tcPr>
          <w:p w14:paraId="72705C22" w14:textId="6D60E8E0" w:rsidR="000D2561" w:rsidRDefault="000D2561" w:rsidP="00547CD4">
            <w:pPr>
              <w:jc w:val="center"/>
              <w:rPr>
                <w:rFonts w:ascii="Calibri" w:hAnsi="Calibri"/>
              </w:rPr>
            </w:pPr>
            <w:r>
              <w:rPr>
                <w:rFonts w:ascii="Calibri" w:hAnsi="Calibri"/>
              </w:rPr>
              <w:t>30</w:t>
            </w:r>
          </w:p>
        </w:tc>
      </w:tr>
      <w:tr w:rsidR="000D2561" w:rsidRPr="00FA5F64" w14:paraId="391A5111" w14:textId="77777777" w:rsidTr="000D2561">
        <w:tc>
          <w:tcPr>
            <w:tcW w:w="2830" w:type="dxa"/>
          </w:tcPr>
          <w:p w14:paraId="6499FE7C" w14:textId="41A4C215" w:rsidR="000D2561" w:rsidRDefault="000D2561">
            <w:pPr>
              <w:rPr>
                <w:rFonts w:ascii="Calibri" w:hAnsi="Calibri"/>
              </w:rPr>
            </w:pPr>
            <w:r>
              <w:rPr>
                <w:rFonts w:ascii="Calibri" w:hAnsi="Calibri"/>
              </w:rPr>
              <w:t>peak #events / bunch Xing</w:t>
            </w:r>
          </w:p>
        </w:tc>
        <w:tc>
          <w:tcPr>
            <w:tcW w:w="1843" w:type="dxa"/>
          </w:tcPr>
          <w:p w14:paraId="02C4C5E6" w14:textId="162DACDB" w:rsidR="000D2561" w:rsidRDefault="000D2561" w:rsidP="00547CD4">
            <w:pPr>
              <w:jc w:val="center"/>
              <w:rPr>
                <w:rFonts w:ascii="Calibri" w:hAnsi="Calibri"/>
              </w:rPr>
            </w:pPr>
            <w:r>
              <w:rPr>
                <w:rFonts w:ascii="Calibri" w:hAnsi="Calibri"/>
              </w:rPr>
              <w:t>(135) 27</w:t>
            </w:r>
          </w:p>
        </w:tc>
        <w:tc>
          <w:tcPr>
            <w:tcW w:w="1985" w:type="dxa"/>
          </w:tcPr>
          <w:p w14:paraId="51E8BCC7" w14:textId="345B2EDA" w:rsidR="000D2561" w:rsidRDefault="000D2561" w:rsidP="00547CD4">
            <w:pPr>
              <w:jc w:val="center"/>
              <w:rPr>
                <w:rFonts w:ascii="Calibri" w:hAnsi="Calibri"/>
              </w:rPr>
            </w:pPr>
            <w:r>
              <w:rPr>
                <w:rFonts w:ascii="Calibri" w:hAnsi="Calibri"/>
              </w:rPr>
              <w:t>800 (400)</w:t>
            </w:r>
          </w:p>
        </w:tc>
        <w:tc>
          <w:tcPr>
            <w:tcW w:w="1041" w:type="dxa"/>
          </w:tcPr>
          <w:p w14:paraId="327F41E2" w14:textId="77777777" w:rsidR="000D2561" w:rsidRDefault="000D2561" w:rsidP="00547CD4">
            <w:pPr>
              <w:jc w:val="center"/>
              <w:rPr>
                <w:rFonts w:ascii="Calibri" w:hAnsi="Calibri"/>
              </w:rPr>
            </w:pPr>
            <w:r>
              <w:rPr>
                <w:rFonts w:ascii="Calibri" w:hAnsi="Calibri"/>
              </w:rPr>
              <w:t>170</w:t>
            </w:r>
          </w:p>
        </w:tc>
        <w:tc>
          <w:tcPr>
            <w:tcW w:w="1214" w:type="dxa"/>
            <w:gridSpan w:val="2"/>
          </w:tcPr>
          <w:p w14:paraId="689F0F49" w14:textId="01689CAB" w:rsidR="000D2561" w:rsidRDefault="000D2561" w:rsidP="00547CD4">
            <w:pPr>
              <w:jc w:val="center"/>
              <w:rPr>
                <w:rFonts w:ascii="Calibri" w:hAnsi="Calibri"/>
              </w:rPr>
            </w:pPr>
            <w:r>
              <w:rPr>
                <w:rFonts w:ascii="Calibri" w:hAnsi="Calibri"/>
              </w:rPr>
              <w:t>1000(500)</w:t>
            </w:r>
          </w:p>
        </w:tc>
      </w:tr>
      <w:tr w:rsidR="00547CD4" w:rsidRPr="00FA5F64" w14:paraId="30F425FE" w14:textId="77777777" w:rsidTr="000D2561">
        <w:tc>
          <w:tcPr>
            <w:tcW w:w="2830" w:type="dxa"/>
          </w:tcPr>
          <w:p w14:paraId="152B7812" w14:textId="561D2FE5" w:rsidR="00547CD4" w:rsidRDefault="00547CD4">
            <w:pPr>
              <w:rPr>
                <w:rFonts w:ascii="Calibri" w:hAnsi="Calibri"/>
              </w:rPr>
            </w:pPr>
            <w:r>
              <w:rPr>
                <w:rFonts w:ascii="Calibri" w:hAnsi="Calibri"/>
              </w:rPr>
              <w:t>Stored energy / beam [GJ]</w:t>
            </w:r>
          </w:p>
        </w:tc>
        <w:tc>
          <w:tcPr>
            <w:tcW w:w="1843" w:type="dxa"/>
          </w:tcPr>
          <w:p w14:paraId="3FA9F9AB" w14:textId="7BA5EEF0" w:rsidR="00547CD4" w:rsidRDefault="00547CD4" w:rsidP="00547CD4">
            <w:pPr>
              <w:jc w:val="center"/>
              <w:rPr>
                <w:rFonts w:ascii="Calibri" w:hAnsi="Calibri"/>
              </w:rPr>
            </w:pPr>
            <w:r>
              <w:rPr>
                <w:rFonts w:ascii="Calibri" w:hAnsi="Calibri"/>
              </w:rPr>
              <w:t>(0.7) 0.36</w:t>
            </w:r>
          </w:p>
        </w:tc>
        <w:tc>
          <w:tcPr>
            <w:tcW w:w="1985" w:type="dxa"/>
          </w:tcPr>
          <w:p w14:paraId="76DBF89F" w14:textId="27CC6C1E" w:rsidR="00547CD4" w:rsidRDefault="00547CD4" w:rsidP="00547CD4">
            <w:pPr>
              <w:jc w:val="center"/>
              <w:rPr>
                <w:rFonts w:ascii="Calibri" w:hAnsi="Calibri"/>
              </w:rPr>
            </w:pPr>
            <w:r>
              <w:rPr>
                <w:rFonts w:ascii="Calibri" w:hAnsi="Calibri"/>
              </w:rPr>
              <w:t>1.4</w:t>
            </w:r>
          </w:p>
        </w:tc>
        <w:tc>
          <w:tcPr>
            <w:tcW w:w="2255" w:type="dxa"/>
            <w:gridSpan w:val="3"/>
          </w:tcPr>
          <w:p w14:paraId="6FDDF45A" w14:textId="685C8959" w:rsidR="00547CD4" w:rsidRDefault="00547CD4" w:rsidP="00547CD4">
            <w:pPr>
              <w:jc w:val="center"/>
              <w:rPr>
                <w:rFonts w:ascii="Calibri" w:hAnsi="Calibri"/>
              </w:rPr>
            </w:pPr>
            <w:r>
              <w:rPr>
                <w:rFonts w:ascii="Calibri" w:hAnsi="Calibri"/>
              </w:rPr>
              <w:t>8.4</w:t>
            </w:r>
          </w:p>
        </w:tc>
      </w:tr>
      <w:tr w:rsidR="00547CD4" w:rsidRPr="00FA5F64" w14:paraId="5800C4B3" w14:textId="77777777" w:rsidTr="000D2561">
        <w:tc>
          <w:tcPr>
            <w:tcW w:w="2830" w:type="dxa"/>
          </w:tcPr>
          <w:p w14:paraId="110ABA34" w14:textId="40764171" w:rsidR="00547CD4" w:rsidRDefault="00547CD4">
            <w:pPr>
              <w:rPr>
                <w:rFonts w:ascii="Calibri" w:hAnsi="Calibri"/>
              </w:rPr>
            </w:pPr>
            <w:r>
              <w:rPr>
                <w:rFonts w:ascii="Calibri" w:hAnsi="Calibri"/>
              </w:rPr>
              <w:t>SR power / beam [kW]</w:t>
            </w:r>
          </w:p>
        </w:tc>
        <w:tc>
          <w:tcPr>
            <w:tcW w:w="1843" w:type="dxa"/>
          </w:tcPr>
          <w:p w14:paraId="63960739" w14:textId="23A2DC35" w:rsidR="00547CD4" w:rsidRDefault="00547CD4" w:rsidP="00547CD4">
            <w:pPr>
              <w:jc w:val="center"/>
              <w:rPr>
                <w:rFonts w:ascii="Calibri" w:hAnsi="Calibri"/>
              </w:rPr>
            </w:pPr>
            <w:r>
              <w:rPr>
                <w:rFonts w:ascii="Calibri" w:hAnsi="Calibri"/>
              </w:rPr>
              <w:t>(7.3) 3.6</w:t>
            </w:r>
          </w:p>
        </w:tc>
        <w:tc>
          <w:tcPr>
            <w:tcW w:w="1985" w:type="dxa"/>
          </w:tcPr>
          <w:p w14:paraId="0DA0079A" w14:textId="6210D0A4" w:rsidR="00547CD4" w:rsidRDefault="00547CD4" w:rsidP="00547CD4">
            <w:pPr>
              <w:jc w:val="center"/>
              <w:rPr>
                <w:rFonts w:ascii="Calibri" w:hAnsi="Calibri"/>
              </w:rPr>
            </w:pPr>
            <w:r>
              <w:rPr>
                <w:rFonts w:ascii="Calibri" w:hAnsi="Calibri"/>
              </w:rPr>
              <w:t>100</w:t>
            </w:r>
          </w:p>
        </w:tc>
        <w:tc>
          <w:tcPr>
            <w:tcW w:w="2255" w:type="dxa"/>
            <w:gridSpan w:val="3"/>
          </w:tcPr>
          <w:p w14:paraId="4F505604" w14:textId="27B14031" w:rsidR="00547CD4" w:rsidRDefault="00547CD4" w:rsidP="00547CD4">
            <w:pPr>
              <w:jc w:val="center"/>
              <w:rPr>
                <w:rFonts w:ascii="Calibri" w:hAnsi="Calibri"/>
              </w:rPr>
            </w:pPr>
            <w:r>
              <w:rPr>
                <w:rFonts w:ascii="Calibri" w:hAnsi="Calibri"/>
              </w:rPr>
              <w:t>2400</w:t>
            </w:r>
          </w:p>
        </w:tc>
      </w:tr>
      <w:tr w:rsidR="000D2561" w:rsidRPr="00FA5F64" w14:paraId="0F3095EE" w14:textId="77777777" w:rsidTr="007A23B0">
        <w:tc>
          <w:tcPr>
            <w:tcW w:w="2830" w:type="dxa"/>
          </w:tcPr>
          <w:p w14:paraId="54D766C9" w14:textId="1F211596" w:rsidR="000D2561" w:rsidRDefault="000D2561">
            <w:pPr>
              <w:rPr>
                <w:rFonts w:ascii="Calibri" w:hAnsi="Calibri"/>
              </w:rPr>
            </w:pPr>
            <w:r>
              <w:rPr>
                <w:rFonts w:ascii="Calibri" w:hAnsi="Calibri"/>
              </w:rPr>
              <w:t>Proton burnoff time [h]</w:t>
            </w:r>
          </w:p>
        </w:tc>
        <w:tc>
          <w:tcPr>
            <w:tcW w:w="1843" w:type="dxa"/>
          </w:tcPr>
          <w:p w14:paraId="668F16F8" w14:textId="2956C173" w:rsidR="000D2561" w:rsidRDefault="000D2561" w:rsidP="00547CD4">
            <w:pPr>
              <w:jc w:val="center"/>
              <w:rPr>
                <w:rFonts w:ascii="Calibri" w:hAnsi="Calibri"/>
              </w:rPr>
            </w:pPr>
            <w:r>
              <w:rPr>
                <w:rFonts w:ascii="Calibri" w:hAnsi="Calibri"/>
              </w:rPr>
              <w:t>(15) 40</w:t>
            </w:r>
          </w:p>
        </w:tc>
        <w:tc>
          <w:tcPr>
            <w:tcW w:w="1985" w:type="dxa"/>
          </w:tcPr>
          <w:p w14:paraId="1A7112CB" w14:textId="00482210" w:rsidR="000D2561" w:rsidRDefault="000D2561" w:rsidP="00547CD4">
            <w:pPr>
              <w:jc w:val="center"/>
              <w:rPr>
                <w:rFonts w:ascii="Calibri" w:hAnsi="Calibri"/>
              </w:rPr>
            </w:pPr>
            <w:r>
              <w:rPr>
                <w:rFonts w:ascii="Calibri" w:hAnsi="Calibri"/>
              </w:rPr>
              <w:t>3.0</w:t>
            </w:r>
          </w:p>
        </w:tc>
        <w:tc>
          <w:tcPr>
            <w:tcW w:w="1127" w:type="dxa"/>
            <w:gridSpan w:val="2"/>
          </w:tcPr>
          <w:p w14:paraId="4BDABACB" w14:textId="213CE05B" w:rsidR="000D2561" w:rsidRDefault="000D2561" w:rsidP="00547CD4">
            <w:pPr>
              <w:jc w:val="center"/>
              <w:rPr>
                <w:rFonts w:ascii="Calibri" w:hAnsi="Calibri"/>
              </w:rPr>
            </w:pPr>
            <w:r>
              <w:rPr>
                <w:rFonts w:ascii="Calibri" w:hAnsi="Calibri"/>
              </w:rPr>
              <w:t>17.0</w:t>
            </w:r>
          </w:p>
        </w:tc>
        <w:tc>
          <w:tcPr>
            <w:tcW w:w="1128" w:type="dxa"/>
          </w:tcPr>
          <w:p w14:paraId="7EEAC265" w14:textId="3777B809" w:rsidR="000D2561" w:rsidRDefault="000D2561" w:rsidP="00547CD4">
            <w:pPr>
              <w:jc w:val="center"/>
              <w:rPr>
                <w:rFonts w:ascii="Calibri" w:hAnsi="Calibri"/>
              </w:rPr>
            </w:pPr>
            <w:r>
              <w:rPr>
                <w:rFonts w:ascii="Calibri" w:hAnsi="Calibri"/>
              </w:rPr>
              <w:t>3.4</w:t>
            </w:r>
          </w:p>
        </w:tc>
      </w:tr>
    </w:tbl>
    <w:p w14:paraId="011F2363" w14:textId="2543EB08" w:rsidR="00FA5F64" w:rsidRPr="004D34B6" w:rsidRDefault="004D34B6" w:rsidP="004D34B6">
      <w:pPr>
        <w:rPr>
          <w:rFonts w:ascii="Calibri" w:hAnsi="Calibri"/>
          <w:i/>
          <w:sz w:val="20"/>
          <w:szCs w:val="20"/>
        </w:rPr>
      </w:pPr>
      <w:r>
        <w:rPr>
          <w:rFonts w:ascii="Calibri" w:hAnsi="Calibri"/>
          <w:i/>
          <w:sz w:val="20"/>
          <w:szCs w:val="20"/>
        </w:rPr>
        <w:tab/>
      </w:r>
      <w:r>
        <w:rPr>
          <w:rFonts w:ascii="Calibri" w:hAnsi="Calibri"/>
          <w:i/>
          <w:sz w:val="20"/>
          <w:szCs w:val="20"/>
        </w:rPr>
        <w:tab/>
      </w:r>
      <w:r>
        <w:rPr>
          <w:rFonts w:ascii="Calibri" w:hAnsi="Calibri"/>
          <w:i/>
          <w:sz w:val="20"/>
          <w:szCs w:val="20"/>
        </w:rPr>
        <w:tab/>
      </w:r>
      <w:r>
        <w:rPr>
          <w:rFonts w:ascii="Calibri" w:hAnsi="Calibri"/>
          <w:i/>
          <w:sz w:val="20"/>
          <w:szCs w:val="20"/>
        </w:rPr>
        <w:tab/>
      </w:r>
      <w:r>
        <w:rPr>
          <w:rFonts w:ascii="Calibri" w:hAnsi="Calibri"/>
          <w:i/>
          <w:sz w:val="20"/>
          <w:szCs w:val="20"/>
        </w:rPr>
        <w:tab/>
      </w:r>
      <w:r>
        <w:rPr>
          <w:rFonts w:ascii="Calibri" w:hAnsi="Calibri"/>
          <w:i/>
          <w:sz w:val="20"/>
          <w:szCs w:val="20"/>
        </w:rPr>
        <w:tab/>
      </w:r>
      <w:r>
        <w:rPr>
          <w:rFonts w:ascii="Calibri" w:hAnsi="Calibri"/>
          <w:i/>
          <w:sz w:val="20"/>
          <w:szCs w:val="20"/>
        </w:rPr>
        <w:tab/>
        <w:t xml:space="preserve">            </w:t>
      </w:r>
      <w:r w:rsidRPr="004D34B6">
        <w:rPr>
          <w:rFonts w:ascii="Calibri" w:hAnsi="Calibri"/>
          <w:i/>
          <w:sz w:val="20"/>
          <w:szCs w:val="20"/>
        </w:rPr>
        <w:t xml:space="preserve">from </w:t>
      </w:r>
      <w:r w:rsidR="00DD4A19" w:rsidRPr="004D34B6">
        <w:rPr>
          <w:rFonts w:ascii="Calibri" w:hAnsi="Calibri"/>
          <w:i/>
          <w:sz w:val="20"/>
          <w:szCs w:val="20"/>
        </w:rPr>
        <w:t>A. Se</w:t>
      </w:r>
      <w:r w:rsidRPr="004D34B6">
        <w:rPr>
          <w:rFonts w:ascii="Calibri" w:hAnsi="Calibri"/>
          <w:i/>
          <w:sz w:val="20"/>
          <w:szCs w:val="20"/>
        </w:rPr>
        <w:t>ryi, JAI course lecture no.22</w:t>
      </w:r>
    </w:p>
    <w:p w14:paraId="46CB0D14" w14:textId="77777777" w:rsidR="00DD4A19" w:rsidRDefault="00DD4A19">
      <w:pPr>
        <w:rPr>
          <w:rFonts w:ascii="Calibri" w:hAnsi="Calibri"/>
        </w:rPr>
      </w:pPr>
    </w:p>
    <w:p w14:paraId="06E87897" w14:textId="74575D4B" w:rsidR="006D65E2" w:rsidRDefault="006D65E2" w:rsidP="006D65E2">
      <w:r>
        <w:t xml:space="preserve">The key idea is to replace the LHC dipoles with new units, realised with the technology of FCC-hh and capable of reaching a field of 16 T. This approach has number of practical advantages, such as avoid to bore a new 100 km tunnel to host the FCC-hh and to keep operating the LHC as injector, reducing costs and energy consumption. This also would allow to keep pushing the physics frontier in case the FCC magnet technology is available, but for external </w:t>
      </w:r>
      <w:r w:rsidR="00895AB9">
        <w:t>(e.g. political</w:t>
      </w:r>
      <w:r w:rsidR="004760CA">
        <w:t>, ...</w:t>
      </w:r>
      <w:r w:rsidR="00895AB9">
        <w:t xml:space="preserve">) </w:t>
      </w:r>
      <w:r>
        <w:t>reasons the real</w:t>
      </w:r>
      <w:r w:rsidR="001E17E9">
        <w:t>is</w:t>
      </w:r>
      <w:r w:rsidR="00895AB9">
        <w:t>ation of FCC is not possible.</w:t>
      </w:r>
    </w:p>
    <w:p w14:paraId="1F66E30B" w14:textId="77777777" w:rsidR="006D65E2" w:rsidRDefault="006D65E2" w:rsidP="006D65E2"/>
    <w:p w14:paraId="6931ED13" w14:textId="531EC442" w:rsidR="00E81F0B" w:rsidRDefault="009F29CE" w:rsidP="006D65E2">
      <w:r>
        <w:t xml:space="preserve">The desirable high luminosity will reach 5 times the HL-LHC, determining a pileup up to 800 in the detectors. A consistent development in the detector technology is required to face this challenge and assure a high event reconstruction efficiency. Considering that by the construction of the HE-LHC the detector will be completely rebuilt because of aging and obsolescence of the components, </w:t>
      </w:r>
      <w:r w:rsidR="00E81F0B">
        <w:t xml:space="preserve">a strong R&amp;D effort is required to face the pileup challenge. </w:t>
      </w:r>
    </w:p>
    <w:p w14:paraId="5E5BF1F7" w14:textId="4F2CAD1E" w:rsidR="002F034A" w:rsidRDefault="002F034A" w:rsidP="006D65E2">
      <w:r>
        <w:t xml:space="preserve">Such high luminosity is reached both through a small </w:t>
      </w:r>
      <w:r w:rsidRPr="00547CD4">
        <w:rPr>
          <w:rFonts w:ascii="Calibri" w:eastAsia="Times New Roman" w:hAnsi="Calibri" w:cs="Times New Roman"/>
        </w:rPr>
        <w:t>β*</w:t>
      </w:r>
      <w:r>
        <w:rPr>
          <w:rFonts w:ascii="Calibri" w:eastAsia="Times New Roman" w:hAnsi="Calibri" w:cs="Times New Roman"/>
        </w:rPr>
        <w:t xml:space="preserve"> and the bunch structure. The </w:t>
      </w:r>
      <w:r w:rsidRPr="00547CD4">
        <w:rPr>
          <w:rFonts w:ascii="Calibri" w:eastAsia="Times New Roman" w:hAnsi="Calibri" w:cs="Times New Roman"/>
        </w:rPr>
        <w:t>β*</w:t>
      </w:r>
      <w:r>
        <w:rPr>
          <w:rFonts w:ascii="Calibri" w:eastAsia="Times New Roman" w:hAnsi="Calibri" w:cs="Times New Roman"/>
        </w:rPr>
        <w:t xml:space="preserve"> is chosen to be similar to the HL-LHC, but with a 1.9 times more energetic beam. This value </w:t>
      </w:r>
      <w:r>
        <w:rPr>
          <w:rFonts w:ascii="Calibri" w:eastAsia="Times New Roman" w:hAnsi="Calibri" w:cs="Times New Roman"/>
        </w:rPr>
        <w:lastRenderedPageBreak/>
        <w:t>seems reachable using the Niobium-Tin magnet technology while matching the re</w:t>
      </w:r>
      <w:r w:rsidR="00F9624F">
        <w:rPr>
          <w:rFonts w:ascii="Calibri" w:eastAsia="Times New Roman" w:hAnsi="Calibri" w:cs="Times New Roman"/>
        </w:rPr>
        <w:t>q</w:t>
      </w:r>
      <w:r>
        <w:rPr>
          <w:rFonts w:ascii="Calibri" w:eastAsia="Times New Roman" w:hAnsi="Calibri" w:cs="Times New Roman"/>
        </w:rPr>
        <w:t>ui</w:t>
      </w:r>
      <w:r w:rsidR="00F9624F">
        <w:rPr>
          <w:rFonts w:ascii="Calibri" w:eastAsia="Times New Roman" w:hAnsi="Calibri" w:cs="Times New Roman"/>
        </w:rPr>
        <w:t>r</w:t>
      </w:r>
      <w:r>
        <w:rPr>
          <w:rFonts w:ascii="Calibri" w:eastAsia="Times New Roman" w:hAnsi="Calibri" w:cs="Times New Roman"/>
        </w:rPr>
        <w:t>ed aperture of the quadrupoles of the final triplet.</w:t>
      </w:r>
    </w:p>
    <w:p w14:paraId="11238842" w14:textId="02A91A97" w:rsidR="00E81F0B" w:rsidRDefault="00E81F0B" w:rsidP="006D65E2">
      <w:r>
        <w:t>The bunch structure is similar to the HL-LHC</w:t>
      </w:r>
      <w:r w:rsidR="00872504">
        <w:t>, with a bunch spacing of 25 ns</w:t>
      </w:r>
      <w:r w:rsidR="002F034A">
        <w:t xml:space="preserve"> and same intensity and emittance</w:t>
      </w:r>
      <w:r>
        <w:t xml:space="preserve">. The LHC Injectors Upgrade program is currently running to assure that such beams are producible in the current acceleration chain. The HE-LHC injection energy is around 1.2 TeV, that requires an upgrade of the </w:t>
      </w:r>
      <w:r w:rsidR="002F034A">
        <w:t>SPS or an additional pre-</w:t>
      </w:r>
      <w:r>
        <w:t xml:space="preserve">acceleration ring sitting in the LHC tunnel. The latter option is challenging because of the reduced size of the LHC (well, LEP ...) tunnel that was not designed to host two rings. Anyway after the abortion of the PS2 and SPL program, it is likely that another upgrade of the current injectors is required to fill the HE-LHC. </w:t>
      </w:r>
    </w:p>
    <w:p w14:paraId="6E4FCFEC" w14:textId="77777777" w:rsidR="006D65E2" w:rsidRDefault="006D65E2">
      <w:pPr>
        <w:rPr>
          <w:rFonts w:ascii="Calibri" w:hAnsi="Calibri"/>
        </w:rPr>
      </w:pPr>
    </w:p>
    <w:p w14:paraId="16BDEBD2" w14:textId="4AD7841F" w:rsidR="00DC2893" w:rsidRDefault="00DC2893">
      <w:pPr>
        <w:rPr>
          <w:rFonts w:ascii="Calibri" w:hAnsi="Calibri"/>
        </w:rPr>
      </w:pPr>
      <w:r>
        <w:rPr>
          <w:rFonts w:ascii="Calibri" w:hAnsi="Calibri"/>
        </w:rPr>
        <w:t xml:space="preserve">The radiated power by synchrotron radiation is </w:t>
      </w:r>
      <w:r w:rsidR="00E92333">
        <w:rPr>
          <w:rFonts w:ascii="Calibri" w:hAnsi="Calibri"/>
        </w:rPr>
        <w:t xml:space="preserve">higher than the other two machines in exam, but cannot reach the LEP levels. </w:t>
      </w:r>
      <w:r w:rsidR="002F034A">
        <w:rPr>
          <w:rFonts w:ascii="Calibri" w:hAnsi="Calibri"/>
        </w:rPr>
        <w:t>Therefore,</w:t>
      </w:r>
      <w:r w:rsidR="00E92333">
        <w:rPr>
          <w:rFonts w:ascii="Calibri" w:hAnsi="Calibri"/>
        </w:rPr>
        <w:t xml:space="preserve"> the state of the art materials </w:t>
      </w:r>
      <w:r w:rsidR="009F134B">
        <w:rPr>
          <w:rFonts w:ascii="Calibri" w:hAnsi="Calibri"/>
        </w:rPr>
        <w:t>are</w:t>
      </w:r>
      <w:r w:rsidR="00E92333">
        <w:rPr>
          <w:rFonts w:ascii="Calibri" w:hAnsi="Calibri"/>
        </w:rPr>
        <w:t xml:space="preserve"> suitable to realise the beam pipe. The beam pipe heating has to be controlled, but the current LHC cryo plant is sufficient to handle the excess of heat. On the beam dynamics side, the high radiated power cause an emittance shrinkage in all the three planes, inducing possible instabilities. This can be cured inserting random noise in case of need to stabilise the beam, determining a controlled blowup. This procedure can be also controlled in order to level the luminosity. </w:t>
      </w:r>
    </w:p>
    <w:p w14:paraId="36F7296D" w14:textId="409B2FF9" w:rsidR="00E92333" w:rsidRDefault="00E92333">
      <w:pPr>
        <w:rPr>
          <w:rFonts w:ascii="Calibri" w:hAnsi="Calibri"/>
        </w:rPr>
      </w:pPr>
      <w:r>
        <w:rPr>
          <w:rFonts w:ascii="Calibri" w:hAnsi="Calibri"/>
        </w:rPr>
        <w:t>To face the energy irradiated a</w:t>
      </w:r>
      <w:r w:rsidR="003D4CF2">
        <w:rPr>
          <w:rFonts w:ascii="Calibri" w:hAnsi="Calibri"/>
        </w:rPr>
        <w:t>nd accelerate the beam, the accelerating voltage will be doubled with respect to the LHC, to 32 MV.</w:t>
      </w:r>
    </w:p>
    <w:p w14:paraId="42FD1064" w14:textId="77777777" w:rsidR="00E92333" w:rsidRPr="00FA5F64" w:rsidRDefault="00E92333">
      <w:pPr>
        <w:rPr>
          <w:rFonts w:ascii="Calibri" w:hAnsi="Calibri"/>
        </w:rPr>
      </w:pPr>
    </w:p>
    <w:p w14:paraId="070AB3CB" w14:textId="42E378E9" w:rsidR="00DC2893" w:rsidRDefault="00DC2893">
      <w:r>
        <w:t xml:space="preserve">The machine protection issues are not negligible, since the stored energy per beam is going to be twice the HL-LHC. Anyway the machine is going to be the same size of the HL-LHC, so similar system can be involved. Particular attention has to be paid to the collimator materials, that have to be resistant to beams of twice the energy. In this sense the R&amp;D program should give hint on the feasibility.  </w:t>
      </w:r>
    </w:p>
    <w:p w14:paraId="637BFE3E" w14:textId="77777777" w:rsidR="004728E4" w:rsidRDefault="004728E4"/>
    <w:p w14:paraId="26D57F92" w14:textId="4023F22C" w:rsidR="004728E4" w:rsidRDefault="002F034A">
      <w:r>
        <w:t xml:space="preserve">The short proton burnoff time allow to increase the integrated luminosity collected. A gain of more than 3 times with respect to HL-LHC is expected, taking into account the turnaround time. </w:t>
      </w:r>
    </w:p>
    <w:p w14:paraId="678BCA52" w14:textId="77777777" w:rsidR="004728E4" w:rsidRDefault="004728E4"/>
    <w:p w14:paraId="1138C12F" w14:textId="48F47247" w:rsidR="00EE5FAE" w:rsidRDefault="00B67840">
      <w:r>
        <w:t>Ultimately the beam parameters of the HE-LHC look very similar to the HL-LHC, and the project offer the possibility to access higher energy and luminosity in a much shorter timescale and with a reduced budget than the FCC-hh. Furthermore</w:t>
      </w:r>
      <w:r w:rsidR="009F134B">
        <w:t>,</w:t>
      </w:r>
      <w:r>
        <w:t xml:space="preserve"> the luminosity of the HE-LHC is far beyond the baseline of FCC-hh. Clearly the HE-LHC cannot access processes at higher energies than 27 TeV, that are accessible with FCC-hh. So if the physics interest is in studying heavy particle production, especially using </w:t>
      </w:r>
      <w:r w:rsidR="00B44D1F">
        <w:t>high-</w:t>
      </w:r>
      <w:r>
        <w:t xml:space="preserve">threshold processes, the higher energy the </w:t>
      </w:r>
      <w:r w:rsidR="00B44D1F">
        <w:t xml:space="preserve">better. In this sense the FCC-hh can access some physics that is not accessible by the HE-LHC. </w:t>
      </w:r>
    </w:p>
    <w:p w14:paraId="2420237F" w14:textId="2F9B3B0E" w:rsidR="00B44D1F" w:rsidRPr="00B67840" w:rsidRDefault="00B44D1F">
      <w:r>
        <w:t>On the other hand, handling a 100 TeV beam is problematic on the machine protection side, also because of the size of the machine. The synchrotron radiation power would be huge and require an incredible amount of energy from the RF systems.</w:t>
      </w:r>
      <w:r w:rsidR="009F134B">
        <w:t xml:space="preserve"> Cryogenics and vacuum are also challenged by SR emission.</w:t>
      </w:r>
      <w:r>
        <w:t xml:space="preserve"> The focusing magnets technology will be also stressed in order to provide very high gradient fields while maintaining a practical aperture.</w:t>
      </w:r>
      <w:r w:rsidR="009F134B">
        <w:t xml:space="preserve"> The production of a beam with half the intensity and similar emittance of HE- and HL-LHC does not seem to be a challenge for the injectors. A controlled emittance blowup, similar to HE-LHC, could be beneficial for luminosity leveling and instabilities control.</w:t>
      </w:r>
    </w:p>
    <w:sectPr w:rsidR="00B44D1F" w:rsidRPr="00B67840" w:rsidSect="00DE74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5A0"/>
    <w:rsid w:val="000D2561"/>
    <w:rsid w:val="0017793D"/>
    <w:rsid w:val="001E17E9"/>
    <w:rsid w:val="00255D19"/>
    <w:rsid w:val="002F034A"/>
    <w:rsid w:val="00374032"/>
    <w:rsid w:val="003D4CF2"/>
    <w:rsid w:val="003E55A0"/>
    <w:rsid w:val="004728E4"/>
    <w:rsid w:val="00475E35"/>
    <w:rsid w:val="004760CA"/>
    <w:rsid w:val="004D17F0"/>
    <w:rsid w:val="004D34B6"/>
    <w:rsid w:val="00547CD4"/>
    <w:rsid w:val="006D65E2"/>
    <w:rsid w:val="0074528A"/>
    <w:rsid w:val="00870644"/>
    <w:rsid w:val="00872504"/>
    <w:rsid w:val="00872857"/>
    <w:rsid w:val="00895AB9"/>
    <w:rsid w:val="00962D37"/>
    <w:rsid w:val="009B0F5E"/>
    <w:rsid w:val="009F134B"/>
    <w:rsid w:val="009F29CE"/>
    <w:rsid w:val="00B44D1F"/>
    <w:rsid w:val="00B67840"/>
    <w:rsid w:val="00CA7D94"/>
    <w:rsid w:val="00DC2893"/>
    <w:rsid w:val="00DD4A19"/>
    <w:rsid w:val="00DE7439"/>
    <w:rsid w:val="00E53B88"/>
    <w:rsid w:val="00E81F0B"/>
    <w:rsid w:val="00E92333"/>
    <w:rsid w:val="00EE5FAE"/>
    <w:rsid w:val="00EF6635"/>
    <w:rsid w:val="00F14832"/>
    <w:rsid w:val="00F9624F"/>
    <w:rsid w:val="00FA5F64"/>
    <w:rsid w:val="00FC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B4B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5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09987">
      <w:bodyDiv w:val="1"/>
      <w:marLeft w:val="0"/>
      <w:marRight w:val="0"/>
      <w:marTop w:val="0"/>
      <w:marBottom w:val="0"/>
      <w:divBdr>
        <w:top w:val="none" w:sz="0" w:space="0" w:color="auto"/>
        <w:left w:val="none" w:sz="0" w:space="0" w:color="auto"/>
        <w:bottom w:val="none" w:sz="0" w:space="0" w:color="auto"/>
        <w:right w:val="none" w:sz="0" w:space="0" w:color="auto"/>
      </w:divBdr>
    </w:div>
    <w:div w:id="1091044138">
      <w:bodyDiv w:val="1"/>
      <w:marLeft w:val="0"/>
      <w:marRight w:val="0"/>
      <w:marTop w:val="0"/>
      <w:marBottom w:val="0"/>
      <w:divBdr>
        <w:top w:val="none" w:sz="0" w:space="0" w:color="auto"/>
        <w:left w:val="none" w:sz="0" w:space="0" w:color="auto"/>
        <w:bottom w:val="none" w:sz="0" w:space="0" w:color="auto"/>
        <w:right w:val="none" w:sz="0" w:space="0" w:color="auto"/>
      </w:divBdr>
    </w:div>
    <w:div w:id="1216042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935</Words>
  <Characters>5333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Senes</dc:creator>
  <cp:keywords/>
  <dc:description/>
  <cp:lastModifiedBy>Eugenio Senes</cp:lastModifiedBy>
  <cp:revision>8</cp:revision>
  <cp:lastPrinted>2018-01-23T16:34:00Z</cp:lastPrinted>
  <dcterms:created xsi:type="dcterms:W3CDTF">2018-01-12T15:26:00Z</dcterms:created>
  <dcterms:modified xsi:type="dcterms:W3CDTF">2018-01-23T16:34:00Z</dcterms:modified>
</cp:coreProperties>
</file>