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Scope of Work (SOW)</w:t>
      </w:r>
    </w:p>
    <w:p>
      <w:pPr>
        <w:spacing w:after="300"/>
        <w:jc w:val="left"/>
      </w:pPr>
      <w:r>
        <w:rPr>
          <w:b/>
          <w:bCs/>
          <w:sz w:val="26"/>
          <w:szCs w:val="26"/>
        </w:rPr>
        <w:t xml:space="preserve">Global Sağlık Göstergeleri Karşılaştırma Projesi</w:t>
      </w:r>
    </w:p>
    <w:p>
      <w:pPr>
        <w:pStyle w:val="Heading1"/>
        <w:spacing w:after="150" w:before="300"/>
      </w:pPr>
      <w:r>
        <w:t xml:space="preserve">1. Proje Amacı (Purpose)</w:t>
      </w:r>
    </w:p>
    <w:p>
      <w:pPr>
        <w:spacing w:after="120"/>
      </w:pPr>
      <w:r>
        <w:rPr>
          <w:b w:val="false"/>
          <w:bCs w:val="false"/>
          <w:i w:val="false"/>
          <w:iCs w:val="false"/>
          <w:sz w:val="22"/>
          <w:szCs w:val="22"/>
        </w:rPr>
        <w:t xml:space="preserve">Bu projenin amacı, Dünya Sağlık Örgütü'nün (WHO) Global Health Observatory (GHO) veri tabanından alınan sağlık iş gücü ve aşılama göstergelerini kullanarak, ülkeler ve bölgeler arasında sağlık kapasitesi ve performansını karşılaştırmalı olarak görselleştirmektir.</w:t>
      </w:r>
    </w:p>
    <w:p>
      <w:pPr>
        <w:spacing w:after="120"/>
      </w:pPr>
      <w:r>
        <w:rPr>
          <w:b w:val="false"/>
          <w:bCs w:val="false"/>
          <w:i w:val="false"/>
          <w:iCs w:val="false"/>
          <w:sz w:val="22"/>
          <w:szCs w:val="22"/>
        </w:rPr>
        <w:t xml:space="preserve">Dashboard, seçilen göstergelerin ülke/bölge bazında nasıl farklılaştığını ve zaman içinde nasıl değiştiğini keşfetmeye imkan tanıyan interaktif bir coğrafi harita ve zaman serisi görünümü sunacaktır.</w:t>
      </w:r>
    </w:p>
    <w:p>
      <w:pPr>
        <w:pStyle w:val="Heading1"/>
        <w:spacing w:after="150" w:before="300"/>
      </w:pPr>
      <w:r>
        <w:t xml:space="preserve">2. Kapsam (Scope)</w:t>
      </w:r>
    </w:p>
    <w:p>
      <w:pPr>
        <w:pStyle w:val="Heading2"/>
        <w:spacing w:after="100" w:before="200"/>
      </w:pPr>
      <w:r>
        <w:t xml:space="preserve">2.1 Coğrafi Kapsam</w:t>
      </w:r>
    </w:p>
    <w:p>
      <w:pPr>
        <w:pStyle w:val="ListParagraph"/>
        <w:numPr>
          <w:ilvl w:val="0"/>
          <w:numId w:val="1"/>
        </w:numPr>
        <w:spacing w:after="60"/>
      </w:pPr>
      <w:r>
        <w:rPr>
          <w:sz w:val="22"/>
          <w:szCs w:val="22"/>
        </w:rPr>
        <w:t xml:space="preserve">Global — WHO'nun 6 bölgesi: Afrika, Amerika, Güneydoğu Asya, Avrupa, Doğu Akdeniz, Batı Pasifik</w:t>
      </w:r>
    </w:p>
    <w:p>
      <w:pPr>
        <w:pStyle w:val="ListParagraph"/>
        <w:numPr>
          <w:ilvl w:val="0"/>
          <w:numId w:val="1"/>
        </w:numPr>
        <w:spacing w:after="60"/>
      </w:pPr>
      <w:r>
        <w:rPr>
          <w:sz w:val="22"/>
          <w:szCs w:val="22"/>
        </w:rPr>
        <w:t xml:space="preserve">Ülke bazlı detay + bölge bazlı karşılaştırmalı görünüm</w:t>
      </w:r>
    </w:p>
    <w:p>
      <w:pPr>
        <w:pStyle w:val="Heading2"/>
        <w:spacing w:after="100" w:before="200"/>
      </w:pPr>
      <w:r>
        <w:t xml:space="preserve">2.2 Zaman Aralığı</w:t>
      </w:r>
    </w:p>
    <w:p>
      <w:pPr>
        <w:pStyle w:val="ListParagraph"/>
        <w:numPr>
          <w:ilvl w:val="0"/>
          <w:numId w:val="1"/>
        </w:numPr>
        <w:spacing w:after="60"/>
      </w:pPr>
      <w:r>
        <w:rPr>
          <w:sz w:val="22"/>
          <w:szCs w:val="22"/>
        </w:rPr>
        <w:t xml:space="preserve">Son 5 yıl (2020–2024)</w:t>
      </w:r>
    </w:p>
    <w:p>
      <w:pPr>
        <w:pStyle w:val="ListParagraph"/>
        <w:numPr>
          <w:ilvl w:val="0"/>
          <w:numId w:val="1"/>
        </w:numPr>
        <w:spacing w:after="60"/>
      </w:pPr>
      <w:r>
        <w:rPr>
          <w:sz w:val="22"/>
          <w:szCs w:val="22"/>
        </w:rPr>
        <w:t xml:space="preserve">Not: GHO verileri genellikle 1–2 yıl gecikmeli yayınlanır; en güncel mevcut yıl veri çekme aşamasında teyit edilecek ve buna göre nihai aralık netleştirilecektir.</w:t>
      </w:r>
    </w:p>
    <w:p>
      <w:pPr>
        <w:pStyle w:val="Heading2"/>
        <w:spacing w:after="100" w:before="200"/>
      </w:pPr>
      <w:r>
        <w:t xml:space="preserve">2.3 Göstergeler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shd w:fill="2E5C8A" w:val="clear"/>
          </w:tcPr>
          <w:p>
            <w:r>
              <w:rPr>
                <w:b/>
                <w:bCs/>
                <w:color w:val="FFFFFF"/>
                <w:sz w:val="20"/>
                <w:szCs w:val="20"/>
              </w:rPr>
              <w:t xml:space="preserve">Gösterge</w:t>
            </w:r>
          </w:p>
        </w:tc>
        <w:tc>
          <w:tcPr>
            <w:tcW w:type="dxa" w:w="3120"/>
            <w:shd w:fill="2E5C8A" w:val="clear"/>
          </w:tcPr>
          <w:p>
            <w:r>
              <w:rPr>
                <w:b/>
                <w:bCs/>
                <w:color w:val="FFFFFF"/>
                <w:sz w:val="20"/>
                <w:szCs w:val="20"/>
              </w:rPr>
              <w:t xml:space="preserve">Ne Ölçer</w:t>
            </w:r>
          </w:p>
        </w:tc>
        <w:tc>
          <w:tcPr>
            <w:tcW w:type="dxa" w:w="3120"/>
            <w:shd w:fill="2E5C8A" w:val="clear"/>
          </w:tcPr>
          <w:p>
            <w:r>
              <w:rPr>
                <w:b/>
                <w:bCs/>
                <w:color w:val="FFFFFF"/>
                <w:sz w:val="20"/>
                <w:szCs w:val="20"/>
              </w:rPr>
              <w:t xml:space="preserve">Neden Seçildi</w:t>
            </w:r>
          </w:p>
        </w:tc>
      </w:tr>
      <w:tr>
        <w:tc>
          <w:tcPr>
            <w:tcW w:type="dxa" w:w="3120"/>
          </w:tcPr>
          <w:p>
            <w:r>
              <w:rPr>
                <w:b w:val="false"/>
                <w:bCs w:val="false"/>
                <w:sz w:val="20"/>
                <w:szCs w:val="20"/>
              </w:rPr>
              <w:t xml:space="preserve">Medical doctors density (10.000 kişi başına hekim sayısı)</w:t>
            </w:r>
          </w:p>
        </w:tc>
        <w:tc>
          <w:tcPr>
            <w:tcW w:type="dxa" w:w="2800"/>
          </w:tcPr>
          <w:p>
            <w:r>
              <w:rPr>
                <w:b w:val="false"/>
                <w:bCs w:val="false"/>
                <w:sz w:val="20"/>
                <w:szCs w:val="20"/>
              </w:rPr>
              <w:t xml:space="preserve">Sağlık iş gücü kapasitesi</w:t>
            </w:r>
          </w:p>
        </w:tc>
        <w:tc>
          <w:tcPr>
            <w:tcW w:type="dxa" w:w="3440"/>
          </w:tcPr>
          <w:p>
            <w:r>
              <w:rPr>
                <w:b w:val="false"/>
                <w:bCs w:val="false"/>
                <w:sz w:val="20"/>
                <w:szCs w:val="20"/>
              </w:rPr>
              <w:t xml:space="preserve">Course 3'teki GHO örneğiyle doğrudan bağlantılı; temel arz göstergesi</w:t>
            </w:r>
          </w:p>
        </w:tc>
      </w:tr>
      <w:tr>
        <w:tc>
          <w:tcPr>
            <w:tcW w:type="dxa" w:w="3120"/>
          </w:tcPr>
          <w:p>
            <w:r>
              <w:rPr>
                <w:b w:val="false"/>
                <w:bCs w:val="false"/>
                <w:sz w:val="20"/>
                <w:szCs w:val="20"/>
              </w:rPr>
              <w:t xml:space="preserve">Nursing and midwifery personnel density (10.000 kişi başına hemşire/ebe sayısı)</w:t>
            </w:r>
          </w:p>
        </w:tc>
        <w:tc>
          <w:tcPr>
            <w:tcW w:type="dxa" w:w="2800"/>
          </w:tcPr>
          <w:p>
            <w:r>
              <w:rPr>
                <w:b w:val="false"/>
                <w:bCs w:val="false"/>
                <w:sz w:val="20"/>
                <w:szCs w:val="20"/>
              </w:rPr>
              <w:t xml:space="preserve">Sağlık iş gücünün ikinci ayağı</w:t>
            </w:r>
          </w:p>
        </w:tc>
        <w:tc>
          <w:tcPr>
            <w:tcW w:type="dxa" w:w="3440"/>
          </w:tcPr>
          <w:p>
            <w:r>
              <w:rPr>
                <w:b w:val="false"/>
                <w:bCs w:val="false"/>
                <w:sz w:val="20"/>
                <w:szCs w:val="20"/>
              </w:rPr>
              <w:t xml:space="preserve">Hekim verisini tamamlayan, birinci basamak sağlık kapasitesini yansıtan gösterge</w:t>
            </w:r>
          </w:p>
        </w:tc>
      </w:tr>
      <w:tr>
        <w:tc>
          <w:tcPr>
            <w:tcW w:type="dxa" w:w="3120"/>
          </w:tcPr>
          <w:p>
            <w:r>
              <w:rPr>
                <w:b w:val="false"/>
                <w:bCs w:val="false"/>
                <w:sz w:val="20"/>
                <w:szCs w:val="20"/>
              </w:rPr>
              <w:t xml:space="preserve">DTP3 immunization coverage (%) (1 yaşındaki çocuklarda 3. doz difteri-tetanoz-boğmaca aşısı)</w:t>
            </w:r>
          </w:p>
        </w:tc>
        <w:tc>
          <w:tcPr>
            <w:tcW w:type="dxa" w:w="2800"/>
          </w:tcPr>
          <w:p>
            <w:r>
              <w:rPr>
                <w:b w:val="false"/>
                <w:bCs w:val="false"/>
                <w:sz w:val="20"/>
                <w:szCs w:val="20"/>
              </w:rPr>
              <w:t xml:space="preserve">Rutin aşılama sistem performansı</w:t>
            </w:r>
          </w:p>
        </w:tc>
        <w:tc>
          <w:tcPr>
            <w:tcW w:type="dxa" w:w="3440"/>
          </w:tcPr>
          <w:p>
            <w:r>
              <w:rPr>
                <w:b w:val="false"/>
                <w:bCs w:val="false"/>
                <w:sz w:val="20"/>
                <w:szCs w:val="20"/>
              </w:rPr>
              <w:t xml:space="preserve">WHO/UNICEF tarafından immünizasyon sistem performansının genel göstergesi olarak kullanılır; COVID etkisini görmek için en çok izlenen çekirdek metrik</w:t>
            </w:r>
          </w:p>
        </w:tc>
      </w:tr>
    </w:tbl>
    <w:p>
      <w:pPr>
        <w:spacing w:after="200"/>
      </w:pPr>
    </w:p>
    <w:p>
      <w:pPr>
        <w:pStyle w:val="Heading1"/>
        <w:spacing w:after="150" w:before="300"/>
      </w:pPr>
      <w:r>
        <w:t xml:space="preserve">3. Teslim Edilecekler (Deliverables)</w:t>
      </w:r>
    </w:p>
    <w:p>
      <w:pPr>
        <w:pStyle w:val="ListParagraph"/>
        <w:numPr>
          <w:ilvl w:val="0"/>
          <w:numId w:val="1"/>
        </w:numPr>
        <w:spacing w:after="60"/>
      </w:pPr>
      <w:r>
        <w:rPr>
          <w:sz w:val="22"/>
          <w:szCs w:val="22"/>
        </w:rPr>
        <w:t xml:space="preserve">Temizlenmiş ve wide→long formata dönüştürülmüş birleşik veri seti (CSV)</w:t>
      </w:r>
    </w:p>
    <w:p>
      <w:pPr>
        <w:pStyle w:val="ListParagraph"/>
        <w:numPr>
          <w:ilvl w:val="0"/>
          <w:numId w:val="1"/>
        </w:numPr>
        <w:spacing w:after="60"/>
      </w:pPr>
      <w:r>
        <w:rPr>
          <w:sz w:val="22"/>
          <w:szCs w:val="22"/>
        </w:rPr>
        <w:t xml:space="preserve">Tekrarlanabilir veri çekme script'i (Python, Jupyter Notebook) — WHO GHO API'sinden otomatik çekim</w:t>
      </w:r>
    </w:p>
    <w:p>
      <w:pPr>
        <w:pStyle w:val="ListParagraph"/>
        <w:numPr>
          <w:ilvl w:val="0"/>
          <w:numId w:val="1"/>
        </w:numPr>
        <w:spacing w:after="60"/>
      </w:pPr>
      <w:r>
        <w:rPr>
          <w:sz w:val="22"/>
          <w:szCs w:val="22"/>
        </w:rPr>
        <w:t xml:space="preserve">Tableau'da interaktif dashboard: coğrafi harita (choropleth) + zaman serisi çizgi grafiği + bölge/ülke filtresi</w:t>
      </w:r>
    </w:p>
    <w:p>
      <w:pPr>
        <w:pStyle w:val="ListParagraph"/>
        <w:numPr>
          <w:ilvl w:val="0"/>
          <w:numId w:val="1"/>
        </w:numPr>
        <w:spacing w:after="60"/>
      </w:pPr>
      <w:r>
        <w:rPr>
          <w:sz w:val="22"/>
          <w:szCs w:val="22"/>
        </w:rPr>
        <w:t xml:space="preserve">Kısa bulgular özeti (1 sayfa, Share adımı çıktısı olarak)</w:t>
      </w:r>
    </w:p>
    <w:p>
      <w:pPr>
        <w:pStyle w:val="ListParagraph"/>
        <w:numPr>
          <w:ilvl w:val="0"/>
          <w:numId w:val="1"/>
        </w:numPr>
        <w:spacing w:after="60"/>
      </w:pPr>
      <w:r>
        <w:rPr>
          <w:sz w:val="22"/>
          <w:szCs w:val="22"/>
        </w:rPr>
        <w:t xml:space="preserve">GitHub reposu: veri hazırlama scripti/notları + dashboard linki + README</w:t>
      </w:r>
    </w:p>
    <w:p>
      <w:pPr>
        <w:pStyle w:val="Heading1"/>
        <w:spacing w:after="150" w:before="300"/>
      </w:pPr>
      <w:r>
        <w:t xml:space="preserve">4. Kilometre Taşları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shd w:fill="2E5C8A" w:val="clear"/>
          </w:tcPr>
          <w:p>
            <w:r>
              <w:rPr>
                <w:b/>
                <w:bCs/>
                <w:color w:val="FFFFFF"/>
                <w:sz w:val="20"/>
                <w:szCs w:val="20"/>
              </w:rPr>
              <w:t xml:space="preserve">Hafta</w:t>
            </w:r>
          </w:p>
        </w:tc>
        <w:tc>
          <w:tcPr>
            <w:tcW w:type="dxa" w:w="3120"/>
            <w:shd w:fill="2E5C8A" w:val="clear"/>
          </w:tcPr>
          <w:p>
            <w:r>
              <w:rPr>
                <w:b/>
                <w:bCs/>
                <w:color w:val="FFFFFF"/>
                <w:sz w:val="20"/>
                <w:szCs w:val="20"/>
              </w:rPr>
              <w:t xml:space="preserve">Aşama</w:t>
            </w:r>
          </w:p>
        </w:tc>
        <w:tc>
          <w:tcPr>
            <w:tcW w:type="dxa" w:w="3120"/>
            <w:shd w:fill="2E5C8A" w:val="clear"/>
          </w:tcPr>
          <w:p>
            <w:r>
              <w:rPr>
                <w:b/>
                <w:bCs/>
                <w:color w:val="FFFFFF"/>
                <w:sz w:val="20"/>
                <w:szCs w:val="20"/>
              </w:rPr>
              <w:t xml:space="preserve">Çıktı</w:t>
            </w:r>
          </w:p>
        </w:tc>
      </w:tr>
      <w:tr>
        <w:tc>
          <w:tcPr>
            <w:tcW w:type="dxa" w:w="1800"/>
          </w:tcPr>
          <w:p>
            <w:r>
              <w:rPr>
                <w:b w:val="false"/>
                <w:bCs w:val="false"/>
                <w:sz w:val="20"/>
                <w:szCs w:val="20"/>
              </w:rPr>
              <w:t xml:space="preserve">1. Hafta</w:t>
            </w:r>
          </w:p>
        </w:tc>
        <w:tc>
          <w:tcPr>
            <w:tcW w:type="dxa" w:w="3600"/>
          </w:tcPr>
          <w:p>
            <w:r>
              <w:rPr>
                <w:b w:val="false"/>
                <w:bCs w:val="false"/>
                <w:sz w:val="20"/>
                <w:szCs w:val="20"/>
              </w:rPr>
              <w:t xml:space="preserve">Veri toplama ve hazırlama</w:t>
            </w:r>
          </w:p>
        </w:tc>
        <w:tc>
          <w:tcPr>
            <w:tcW w:type="dxa" w:w="3960"/>
          </w:tcPr>
          <w:p>
            <w:r>
              <w:rPr>
                <w:b w:val="false"/>
                <w:bCs w:val="false"/>
                <w:sz w:val="20"/>
                <w:szCs w:val="20"/>
              </w:rPr>
              <w:t xml:space="preserve">GHO OData API'sinden 3 gösterge için script ile veri çekimi, format kontrolü</w:t>
            </w:r>
          </w:p>
        </w:tc>
      </w:tr>
      <w:tr>
        <w:tc>
          <w:tcPr>
            <w:tcW w:type="dxa" w:w="1800"/>
          </w:tcPr>
          <w:p>
            <w:r>
              <w:rPr>
                <w:b w:val="false"/>
                <w:bCs w:val="false"/>
                <w:sz w:val="20"/>
                <w:szCs w:val="20"/>
              </w:rPr>
              <w:t xml:space="preserve">2. Hafta</w:t>
            </w:r>
          </w:p>
        </w:tc>
        <w:tc>
          <w:tcPr>
            <w:tcW w:type="dxa" w:w="3600"/>
          </w:tcPr>
          <w:p>
            <w:r>
              <w:rPr>
                <w:b w:val="false"/>
                <w:bCs w:val="false"/>
                <w:sz w:val="20"/>
                <w:szCs w:val="20"/>
              </w:rPr>
              <w:t xml:space="preserve">Veri temizleme ve dönüştürme</w:t>
            </w:r>
          </w:p>
        </w:tc>
        <w:tc>
          <w:tcPr>
            <w:tcW w:type="dxa" w:w="3960"/>
          </w:tcPr>
          <w:p>
            <w:r>
              <w:rPr>
                <w:b w:val="false"/>
                <w:bCs w:val="false"/>
                <w:sz w:val="20"/>
                <w:szCs w:val="20"/>
              </w:rPr>
              <w:t xml:space="preserve">Wide→long dönüşüm, eksik veri/tutarsızlık kontrolü, birleşik veri seti</w:t>
            </w:r>
          </w:p>
        </w:tc>
      </w:tr>
      <w:tr>
        <w:tc>
          <w:tcPr>
            <w:tcW w:type="dxa" w:w="1800"/>
          </w:tcPr>
          <w:p>
            <w:r>
              <w:rPr>
                <w:b w:val="false"/>
                <w:bCs w:val="false"/>
                <w:sz w:val="20"/>
                <w:szCs w:val="20"/>
              </w:rPr>
              <w:t xml:space="preserve">3. Hafta</w:t>
            </w:r>
          </w:p>
        </w:tc>
        <w:tc>
          <w:tcPr>
            <w:tcW w:type="dxa" w:w="3600"/>
          </w:tcPr>
          <w:p>
            <w:r>
              <w:rPr>
                <w:b w:val="false"/>
                <w:bCs w:val="false"/>
                <w:sz w:val="20"/>
                <w:szCs w:val="20"/>
              </w:rPr>
              <w:t xml:space="preserve">Tableau dashboard tasarımı</w:t>
            </w:r>
          </w:p>
        </w:tc>
        <w:tc>
          <w:tcPr>
            <w:tcW w:type="dxa" w:w="3960"/>
          </w:tcPr>
          <w:p>
            <w:r>
              <w:rPr>
                <w:b w:val="false"/>
                <w:bCs w:val="false"/>
                <w:sz w:val="20"/>
                <w:szCs w:val="20"/>
              </w:rPr>
              <w:t xml:space="preserve">Mockup, harita + zaman serisi ilk versiyon</w:t>
            </w:r>
          </w:p>
        </w:tc>
      </w:tr>
      <w:tr>
        <w:tc>
          <w:tcPr>
            <w:tcW w:type="dxa" w:w="1800"/>
          </w:tcPr>
          <w:p>
            <w:r>
              <w:rPr>
                <w:b w:val="false"/>
                <w:bCs w:val="false"/>
                <w:sz w:val="20"/>
                <w:szCs w:val="20"/>
              </w:rPr>
              <w:t xml:space="preserve">4. Hafta</w:t>
            </w:r>
          </w:p>
        </w:tc>
        <w:tc>
          <w:tcPr>
            <w:tcW w:type="dxa" w:w="3600"/>
          </w:tcPr>
          <w:p>
            <w:r>
              <w:rPr>
                <w:b w:val="false"/>
                <w:bCs w:val="false"/>
                <w:sz w:val="20"/>
                <w:szCs w:val="20"/>
              </w:rPr>
              <w:t xml:space="preserve">Analiz ve bulgular</w:t>
            </w:r>
          </w:p>
        </w:tc>
        <w:tc>
          <w:tcPr>
            <w:tcW w:type="dxa" w:w="3960"/>
          </w:tcPr>
          <w:p>
            <w:r>
              <w:rPr>
                <w:b w:val="false"/>
                <w:bCs w:val="false"/>
                <w:sz w:val="20"/>
                <w:szCs w:val="20"/>
              </w:rPr>
              <w:t xml:space="preserve">Ülke/bölge karşılaştırması, öne çıkan örüntülerin belirlenmesi</w:t>
            </w:r>
          </w:p>
        </w:tc>
      </w:tr>
      <w:tr>
        <w:tc>
          <w:tcPr>
            <w:tcW w:type="dxa" w:w="1800"/>
          </w:tcPr>
          <w:p>
            <w:r>
              <w:rPr>
                <w:b w:val="false"/>
                <w:bCs w:val="false"/>
                <w:sz w:val="20"/>
                <w:szCs w:val="20"/>
              </w:rPr>
              <w:t xml:space="preserve">5. Hafta</w:t>
            </w:r>
          </w:p>
        </w:tc>
        <w:tc>
          <w:tcPr>
            <w:tcW w:type="dxa" w:w="3600"/>
          </w:tcPr>
          <w:p>
            <w:r>
              <w:rPr>
                <w:b w:val="false"/>
                <w:bCs w:val="false"/>
                <w:sz w:val="20"/>
                <w:szCs w:val="20"/>
              </w:rPr>
              <w:t xml:space="preserve">Son rötuş ve paylaşım</w:t>
            </w:r>
          </w:p>
        </w:tc>
        <w:tc>
          <w:tcPr>
            <w:tcW w:type="dxa" w:w="3960"/>
          </w:tcPr>
          <w:p>
            <w:r>
              <w:rPr>
                <w:b w:val="false"/>
                <w:bCs w:val="false"/>
                <w:sz w:val="20"/>
                <w:szCs w:val="20"/>
              </w:rPr>
              <w:t xml:space="preserve">Dashboard yayınlama, GitHub README, bulgular özeti</w:t>
            </w:r>
          </w:p>
        </w:tc>
      </w:tr>
    </w:tbl>
    <w:p>
      <w:pPr>
        <w:spacing w:after="200"/>
      </w:pPr>
    </w:p>
    <w:p>
      <w:pPr>
        <w:pStyle w:val="Heading1"/>
        <w:spacing w:after="150" w:before="300"/>
      </w:pPr>
      <w:r>
        <w:t xml:space="preserve">5. Kapsam Dışı (Out of Scope)</w:t>
      </w:r>
    </w:p>
    <w:p>
      <w:pPr>
        <w:pStyle w:val="ListParagraph"/>
        <w:numPr>
          <w:ilvl w:val="0"/>
          <w:numId w:val="1"/>
        </w:numPr>
        <w:spacing w:after="60"/>
      </w:pPr>
      <w:r>
        <w:rPr>
          <w:sz w:val="22"/>
          <w:szCs w:val="22"/>
        </w:rPr>
        <w:t xml:space="preserve">Ülke düzeyinde politika önerisi geliştirme (proje tanımlayıcı analiz + görselleştirme ile sınırlıdır)</w:t>
      </w:r>
    </w:p>
    <w:p>
      <w:pPr>
        <w:pStyle w:val="ListParagraph"/>
        <w:numPr>
          <w:ilvl w:val="0"/>
          <w:numId w:val="1"/>
        </w:numPr>
        <w:spacing w:after="60"/>
      </w:pPr>
      <w:r>
        <w:rPr>
          <w:sz w:val="22"/>
          <w:szCs w:val="22"/>
        </w:rPr>
        <w:t xml:space="preserve">Anket/birincil veri toplama — yalnızca GHO'nun ikincil (secondary) verisi kullanılacaktır</w:t>
      </w:r>
    </w:p>
    <w:p>
      <w:pPr>
        <w:pStyle w:val="ListParagraph"/>
        <w:numPr>
          <w:ilvl w:val="0"/>
          <w:numId w:val="1"/>
        </w:numPr>
        <w:spacing w:after="60"/>
      </w:pPr>
      <w:r>
        <w:rPr>
          <w:sz w:val="22"/>
          <w:szCs w:val="22"/>
        </w:rPr>
        <w:t xml:space="preserve">Nedensellik (causal) analizi — yalnızca tanımlayıcı örüntüler görselleştirilecektir</w:t>
      </w:r>
    </w:p>
    <w:p>
      <w:pPr>
        <w:pStyle w:val="Heading1"/>
        <w:spacing w:after="150" w:before="300"/>
      </w:pPr>
      <w:r>
        <w:t xml:space="preserve">6. Veri Kaynakları ve Araçlar</w:t>
      </w:r>
    </w:p>
    <w:p>
      <w:pPr>
        <w:pStyle w:val="ListParagraph"/>
        <w:numPr>
          <w:ilvl w:val="0"/>
          <w:numId w:val="1"/>
        </w:numPr>
        <w:spacing w:after="60"/>
      </w:pPr>
      <w:r>
        <w:rPr>
          <w:sz w:val="22"/>
          <w:szCs w:val="22"/>
        </w:rPr>
        <w:t xml:space="preserve">WHO Global Health Observatory (GHO) OData API — https://ghoapi.azureedge.net/api/ (kimlik dogrulama gerektirmez, resmi WHO API'si)</w:t>
      </w:r>
    </w:p>
    <w:p>
      <w:pPr>
        <w:pStyle w:val="ListParagraph"/>
        <w:numPr>
          <w:ilvl w:val="0"/>
          <w:numId w:val="1"/>
        </w:numPr>
        <w:spacing w:after="60"/>
      </w:pPr>
      <w:r>
        <w:rPr>
          <w:sz w:val="22"/>
          <w:szCs w:val="22"/>
        </w:rPr>
        <w:t xml:space="preserve">Kullanilan indicator kodlari: HWF_0001 (Hekim Yogunlugu), HWF_0006 (Hemsire-Ebe Yogunlugu), WHS4_100 (DTP3 Asi Orani)</w:t>
      </w:r>
    </w:p>
    <w:p>
      <w:pPr>
        <w:pStyle w:val="ListParagraph"/>
        <w:numPr>
          <w:ilvl w:val="0"/>
          <w:numId w:val="1"/>
        </w:numPr>
        <w:spacing w:after="60"/>
      </w:pPr>
      <w:r>
        <w:rPr>
          <w:sz w:val="22"/>
          <w:szCs w:val="22"/>
        </w:rPr>
        <w:t xml:space="preserve">Veri cekme ve temizleme: Python (requests, pandas) — Jupyter Notebook (data_prep/clean_who_data.ipynb)</w:t>
      </w:r>
    </w:p>
    <w:p>
      <w:pPr>
        <w:pStyle w:val="ListParagraph"/>
        <w:numPr>
          <w:ilvl w:val="0"/>
          <w:numId w:val="1"/>
        </w:numPr>
        <w:spacing w:after="60"/>
      </w:pPr>
      <w:r>
        <w:rPr>
          <w:sz w:val="22"/>
          <w:szCs w:val="22"/>
        </w:rPr>
        <w:t xml:space="preserve">Gorsellestirme: Tableau Public</w:t>
      </w:r>
    </w:p>
    <w:p>
      <w:pPr>
        <w:pStyle w:val="ListParagraph"/>
        <w:numPr>
          <w:ilvl w:val="0"/>
          <w:numId w:val="1"/>
        </w:numPr>
        <w:spacing w:after="60"/>
      </w:pPr>
      <w:r>
        <w:rPr>
          <w:sz w:val="22"/>
          <w:szCs w:val="22"/>
        </w:rPr>
        <w:t xml:space="preserve">Versiyon kontrolu ve paylasim: GitHub (esero88/who-health-indicators-analysis)</w:t>
      </w:r>
    </w:p>
    <w:p>
      <w:pPr>
        <w:spacing w:after="120"/>
      </w:pPr>
      <w:r>
        <w:rPr>
          <w:b w:val="false"/>
          <w:bCs w:val="false"/>
          <w:i w:val="false"/>
          <w:iCs w:val="false"/>
          <w:sz w:val="22"/>
          <w:szCs w:val="22"/>
        </w:rPr>
        <w:t xml:space="preserve">Not: Veri, WHO'nun web portalindaki manuel filtre/indirme arayuzu yerine dogrudan API uzerinden programatik olarak cekilmistir. Bu yaklasim hem tekrarlanabilirligi (reproducibility) saglar hem de API'nin portal onbellegine (cache) kiyasla daha guncel veri dondurdugu gozlemlenmistir (orn. 2023 yili icin portal export'unda daha az ulke verisi bulunurken, API sorgusunda daha fazla ulkenin guncel verisine erisilebilmistir).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2026-07-13T14:58:38.921Z</dcterms:created>
  <dcterms:modified xsi:type="dcterms:W3CDTF">2026-07-13T14:58:38.936Z</dcterms:modified>
</cp:coreProperties>
</file>

<file path=docProps/custom.xml><?xml version="1.0" encoding="utf-8"?>
<Properties xmlns="http://schemas.openxmlformats.org/officeDocument/2006/custom-properties" xmlns:vt="http://schemas.openxmlformats.org/officeDocument/2006/docPropsVTypes"/>
</file>