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il"/>
              <w:left w:val="nil"/>
              <w:bottom w:val="nil"/>
              <w:right w:val="nil"/>
            </w:tcBorders>
            <w:shd w:fill="1A1A2E" w:val="clear"/>
            <w:tcMar>
              <w:top w:type="dxa" w:w="700"/>
              <w:left w:type="dxa" w:w="400"/>
              <w:bottom w:type="dxa" w:w="700"/>
              <w:right w:type="dxa" w:w="400"/>
            </w:tcMar>
          </w:tcPr>
          <w:p>
            <w:pPr>
              <w:jc w:val="center"/>
            </w:pPr>
            <w:r>
              <w:rPr>
                <w:rFonts w:ascii="Arial" w:cs="Arial" w:eastAsia="Arial" w:hAnsi="Arial"/>
                <w:b/>
                <w:bCs/>
                <w:color w:val="FFFFFF"/>
                <w:sz w:val="48"/>
                <w:szCs w:val="48"/>
              </w:rPr>
              <w:t xml:space="preserve">LECCIONES APRENDIDAS</w:t>
            </w:r>
          </w:p>
          <w:p>
            <w:pPr>
              <w:jc w:val="center"/>
            </w:pPr>
            <w:r>
              <w:rPr>
                <w:rFonts w:ascii="Arial" w:cs="Arial" w:eastAsia="Arial" w:hAnsi="Arial"/>
                <w:b/>
                <w:bCs/>
                <w:color w:val="00D4AA"/>
                <w:sz w:val="36"/>
                <w:szCs w:val="36"/>
              </w:rPr>
              <w:t xml:space="preserve">Etiquetado GTM · future-a.com</w:t>
            </w:r>
          </w:p>
          <w:p>
            <w:pPr>
              <w:spacing w:before="80" w:after="0"/>
            </w:pPr>
            <w:r>
              <w:t xml:space="preserve"/>
            </w:r>
          </w:p>
          <w:p>
            <w:pPr>
              <w:jc w:val="center"/>
            </w:pPr>
            <w:r>
              <w:rPr>
                <w:rFonts w:ascii="Arial" w:cs="Arial" w:eastAsia="Arial" w:hAnsi="Arial"/>
                <w:color w:val="B0C4DE"/>
                <w:sz w:val="22"/>
                <w:szCs w:val="22"/>
              </w:rPr>
              <w:t xml:space="preserve">Errores detectados, correcciones aplicadas y reglas nuevas</w:t>
            </w:r>
          </w:p>
          <w:p>
            <w:pPr>
              <w:spacing w:before="80" w:after="0"/>
            </w:pPr>
            <w:r>
              <w:t xml:space="preserve"/>
            </w:r>
          </w:p>
          <w:p>
            <w:pPr>
              <w:jc w:val="center"/>
            </w:pPr>
            <w:r>
              <w:rPr>
                <w:rFonts w:ascii="Arial" w:cs="Arial" w:eastAsia="Arial" w:hAnsi="Arial"/>
                <w:color w:val="8899AA"/>
                <w:sz w:val="20"/>
                <w:szCs w:val="20"/>
              </w:rPr>
              <w:t xml:space="preserve">ESES Agency · GTMXpert · Marzo 2026</w:t>
            </w:r>
          </w:p>
        </w:tc>
      </w:tr>
    </w:tbl>
    <w:p>
      <w:pPr>
        <w:spacing w:before="80" w:after="0"/>
      </w:pPr>
      <w:r>
        <w:t xml:space="preserve"/>
      </w:r>
    </w:p>
    <w:p>
      <w:pPr>
        <w:spacing w:before="80" w:after="0"/>
      </w:pPr>
      <w:r>
        <w:t xml:space="preserve"/>
      </w:r>
    </w:p>
    <w:p>
      <w:pPr>
        <w:pStyle w:val="Heading1"/>
      </w:pPr>
      <w:r>
        <w:rPr>
          <w:rFonts w:ascii="Arial" w:cs="Arial" w:eastAsia="Arial" w:hAnsi="Arial"/>
          <w:b/>
          <w:bCs/>
          <w:color w:val="00D4AA"/>
          <w:sz w:val="36"/>
          <w:szCs w:val="36"/>
        </w:rPr>
        <w:t xml:space="preserve">Propósito de este documento</w:t>
      </w:r>
    </w:p>
    <w:p>
      <w:r>
        <w:rPr>
          <w:rFonts w:ascii="Arial" w:cs="Arial" w:eastAsia="Arial" w:hAnsi="Arial"/>
          <w:color w:val="1F2937"/>
          <w:sz w:val="20"/>
          <w:szCs w:val="20"/>
        </w:rPr>
        <w:t xml:space="preserve">Este documento recoge los errores encontrados durante la implementación de GTM en future-a.com, las causas raíz de cada uno y las reglas de prevención que deben incorporarse a la metodología GTMXpert para que no se repitan en proyectos futuros.</w:t>
      </w:r>
    </w:p>
    <w:p>
      <w:pPr>
        <w:spacing w:before="80" w:after="0"/>
      </w:pPr>
      <w:r>
        <w:t xml:space="preserve"/>
      </w:r>
    </w:p>
    <w:p>
      <w:r>
        <w:rPr>
          <w:rFonts w:ascii="Arial" w:cs="Arial" w:eastAsia="Arial" w:hAnsi="Arial"/>
          <w:color w:val="1F2937"/>
          <w:sz w:val="20"/>
          <w:szCs w:val="20"/>
        </w:rPr>
        <w:t xml:space="preserve">Cada sección sigue el mismo formato: descripción del error encontrado, por qué ocurrió, cómo se resolvió, y qué pregunta o comprobación hay que añadir al checklist de inicio de proyecto.</w:t>
      </w:r>
    </w:p>
    <w:p>
      <w:pPr>
        <w:spacing w:before="80" w:after="0"/>
      </w:pPr>
      <w:r>
        <w:t xml:space="preserve"/>
      </w:r>
    </w:p>
    <w:p>
      <w:pPr>
        <w:pBdr>
          <w:bottom w:val="single" w:color="00D4AA" w:sz="6"/>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Borders>
              <w:top w:val="nil"/>
              <w:left w:val="nil"/>
              <w:bottom w:val="nil"/>
              <w:right w:val="nil"/>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01. No inventariar los formularios antes de escribir el Custom HTML</w:t>
            </w:r>
          </w:p>
        </w:tc>
        <w:tc>
          <w:tcPr>
            <w:tcBorders>
              <w:top w:val="nil"/>
              <w:left w:val="nil"/>
              <w:bottom w:val="nil"/>
              <w:right w:val="nil"/>
            </w:tcBorders>
            <w:shd w:fill="EF4444"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ERROR</w:t>
            </w:r>
          </w:p>
        </w:tc>
      </w:tr>
    </w:tbl>
    <w:p>
      <w:pPr>
        <w:spacing w:before="80" w:after="0"/>
      </w:pPr>
      <w:r>
        <w:t xml:space="preserve"/>
      </w:r>
    </w:p>
    <w:p>
      <w:pPr>
        <w:pStyle w:val="Heading2"/>
      </w:pPr>
      <w:r>
        <w:rPr>
          <w:rFonts w:ascii="Arial" w:cs="Arial" w:eastAsia="Arial" w:hAnsi="Arial"/>
          <w:b/>
          <w:bCs/>
          <w:color w:val="1A1A2E"/>
          <w:sz w:val="26"/>
          <w:szCs w:val="26"/>
        </w:rPr>
        <w:t xml:space="preserve">Qué pasó</w:t>
      </w:r>
    </w:p>
    <w:p>
      <w:r>
        <w:rPr>
          <w:rFonts w:ascii="Arial" w:cs="Arial" w:eastAsia="Arial" w:hAnsi="Arial"/>
          <w:color w:val="1F2937"/>
          <w:sz w:val="20"/>
          <w:szCs w:val="20"/>
        </w:rPr>
        <w:t xml:space="preserve">Se asumió que todos los formularios del site eran Contact Form 7 (CF7) y se escribió el Custom HTML listener exclusivamente para .wpcf7-form y wpcf7mailsent. Al probarlo, el formulario de newsletter no disparaba ningún evento porque es Mailchimp, y el formulario del checkout tampoco porque es WooCommerce nativo.</w:t>
      </w:r>
    </w:p>
    <w:p>
      <w:pPr>
        <w:spacing w:before="80" w:after="0"/>
      </w:pPr>
      <w:r>
        <w:t xml:space="preserve"/>
      </w:r>
    </w:p>
    <w:p>
      <w:r>
        <w:rPr>
          <w:rFonts w:ascii="Arial" w:cs="Arial" w:eastAsia="Arial" w:hAnsi="Arial"/>
          <w:color w:val="1F2937"/>
          <w:sz w:val="20"/>
          <w:szCs w:val="20"/>
        </w:rPr>
        <w:t xml:space="preserve">En future-a.com coexisten tres tecnologías de formulario completamente distintas: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360"/>
        <w:gridCol w:w="240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Formulario</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23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Evento de éxito</w:t>
            </w:r>
          </w:p>
        </w:tc>
        <w:tc>
          <w:tcPr>
            <w:tcW w:type="dxa" w:w="2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Detección de inicio</w:t>
            </w:r>
          </w:p>
        </w:tc>
      </w:tr>
      <w:tr>
        <w:tc>
          <w:tcPr>
            <w:tcW w:type="dxa" w:w="22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Contacto (footer)</w:t>
            </w:r>
          </w:p>
        </w:tc>
        <w:tc>
          <w:tcPr>
            <w:tcW w:type="dxa" w:w="2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Contact Form 7</w:t>
            </w:r>
          </w:p>
        </w:tc>
        <w:tc>
          <w:tcPr>
            <w:tcW w:type="dxa" w:w="23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wpcf7mailsent (JS event)</w:t>
            </w:r>
          </w:p>
        </w:tc>
        <w:tc>
          <w:tcPr>
            <w:tcW w:type="dxa" w:w="2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focus en primer campo .wpcf7-form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Newsletter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Mailchimp embedded</w:t>
            </w:r>
          </w:p>
        </w:tc>
        <w:tc>
          <w:tcPr>
            <w:tcW w:type="dxa" w:w="2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MutationObserver sobre #mce-success-response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focus en input[name="EMAIL"]</w:t>
            </w:r>
          </w:p>
        </w:tc>
      </w:tr>
      <w:tr>
        <w:tc>
          <w:tcPr>
            <w:tcW w:type="dxa" w:w="22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Checkout</w:t>
            </w:r>
          </w:p>
        </w:tc>
        <w:tc>
          <w:tcPr>
            <w:tcW w:type="dxa" w:w="2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WooCommerce nativo</w:t>
            </w:r>
          </w:p>
        </w:tc>
        <w:tc>
          <w:tcPr>
            <w:tcW w:type="dxa" w:w="23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Pageview /order-received</w:t>
            </w:r>
          </w:p>
        </w:tc>
        <w:tc>
          <w:tcPr>
            <w:tcW w:type="dxa" w:w="2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focus en #billing_first_name</w:t>
            </w:r>
          </w:p>
        </w:tc>
      </w:tr>
    </w:tbl>
    <w:p>
      <w:pPr>
        <w:spacing w:before="80" w:after="0"/>
      </w:pPr>
      <w:r>
        <w:t xml:space="preserve"/>
      </w:r>
    </w:p>
    <w:p>
      <w:pPr>
        <w:pStyle w:val="Heading2"/>
      </w:pPr>
      <w:r>
        <w:rPr>
          <w:rFonts w:ascii="Arial" w:cs="Arial" w:eastAsia="Arial" w:hAnsi="Arial"/>
          <w:b/>
          <w:bCs/>
          <w:color w:val="1A1A2E"/>
          <w:sz w:val="26"/>
          <w:szCs w:val="26"/>
        </w:rPr>
        <w:t xml:space="preserve">Por qué ocurrió</w:t>
      </w:r>
    </w:p>
    <w:p>
      <w:r>
        <w:rPr>
          <w:rFonts w:ascii="Arial" w:cs="Arial" w:eastAsia="Arial" w:hAnsi="Arial"/>
          <w:color w:val="1F2937"/>
          <w:sz w:val="20"/>
          <w:szCs w:val="20"/>
        </w:rPr>
        <w:t xml:space="preserve">El brief inicial solo mencionaba "formularios de contacto y newsletter" sin especificar las tecnologías. Se tomó CF7 como supuesto por defecto porque es lo más habitual en WordPress, sin validar el HTML real de cada formulario antes de escribir el código.</w:t>
      </w:r>
    </w:p>
    <w:p>
      <w:pPr>
        <w:spacing w:before="80" w:after="0"/>
      </w:pPr>
      <w:r>
        <w:t xml:space="preserve"/>
      </w:r>
    </w:p>
    <w:p>
      <w:pPr>
        <w:pStyle w:val="Heading2"/>
      </w:pPr>
      <w:r>
        <w:rPr>
          <w:rFonts w:ascii="Arial" w:cs="Arial" w:eastAsia="Arial" w:hAnsi="Arial"/>
          <w:b/>
          <w:bCs/>
          <w:color w:val="1A1A2E"/>
          <w:sz w:val="26"/>
          <w:szCs w:val="26"/>
        </w:rPr>
        <w:t xml:space="preserve">Cómo se detectó</w:t>
      </w:r>
    </w:p>
    <w:p>
      <w:r>
        <w:rPr>
          <w:rFonts w:ascii="Arial" w:cs="Arial" w:eastAsia="Arial" w:hAnsi="Arial"/>
          <w:color w:val="1F2937"/>
          <w:sz w:val="20"/>
          <w:szCs w:val="20"/>
        </w:rPr>
        <w:t xml:space="preserve">En GTM Preview se comprobó que el Custom HTML se cargaba pero el evento futurea_form_begin no aparecía en el dataLayer al hacer focus en el newsletter. Se inspeccionó el HTML y se identificó que el formulario usaba la clase mc_embed_signup_scroll en lugar de wpcf7-form.</w:t>
      </w:r>
    </w:p>
    <w:p>
      <w:pPr>
        <w:spacing w:before="80" w:after="0"/>
      </w:pPr>
      <w:r>
        <w:t xml:space="preserve"/>
      </w:r>
    </w:p>
    <w:p>
      <w:pPr>
        <w:pStyle w:val="Heading2"/>
      </w:pPr>
      <w:r>
        <w:rPr>
          <w:rFonts w:ascii="Arial" w:cs="Arial" w:eastAsia="Arial" w:hAnsi="Arial"/>
          <w:b/>
          <w:bCs/>
          <w:color w:val="1A1A2E"/>
          <w:sz w:val="26"/>
          <w:szCs w:val="26"/>
        </w:rPr>
        <w:t xml:space="preserve">Regla nueva para GTMXpert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6"/>
              <w:bottom w:val="single" w:color="EF4444" w:sz="4"/>
              <w:right w:val="single" w:color="EF4444" w:sz="4"/>
            </w:tcBorders>
            <w:shd w:fill="FEF2F2" w:val="clear"/>
            <w:tcMar>
              <w:top w:type="dxa" w:w="140"/>
              <w:left w:type="dxa" w:w="220"/>
              <w:bottom w:type="dxa" w:w="140"/>
              <w:right w:type="dxa" w:w="220"/>
            </w:tcMar>
          </w:tcPr>
          <w:p>
            <w:r>
              <w:rPr>
                <w:rFonts w:ascii="Arial" w:cs="Arial" w:eastAsia="Arial" w:hAnsi="Arial"/>
                <w:color w:val="991B1B"/>
                <w:sz w:val="19"/>
                <w:szCs w:val="19"/>
              </w:rPr>
              <w:t xml:space="preserve">🚫  OBLIGATORIO: Antes de escribir cualquier Custom HTML de formularios, obtener el HTML de TODOS los formularios del site y clasificarlos por tecnología. Un site puede tener CF7, Gravity Forms, WPForms, Mailchimp, HubSpot, WooCommerce y formularios nativos HTML coexistiendo.</w:t>
            </w:r>
          </w:p>
        </w:tc>
      </w:tr>
    </w:tbl>
    <w:p>
      <w:pPr>
        <w:spacing w:before="80" w:after="0"/>
      </w:pPr>
      <w:r>
        <w:t xml:space="preserve"/>
      </w:r>
    </w:p>
    <w:p>
      <w:pPr>
        <w:pStyle w:val="Heading3"/>
      </w:pPr>
      <w:r>
        <w:rPr>
          <w:rFonts w:ascii="Arial" w:cs="Arial" w:eastAsia="Arial" w:hAnsi="Arial"/>
          <w:b/>
          <w:bCs/>
          <w:color w:val="374151"/>
          <w:sz w:val="22"/>
          <w:szCs w:val="22"/>
        </w:rPr>
        <w:t xml:space="preserve">Checklist de inventario de formularios — añadir a PASO 0 de todas las guías</w:t>
      </w:r>
    </w:p>
    <w:p>
      <w:pPr>
        <w:spacing w:before="80" w:after="0"/>
      </w:pPr>
      <w:r>
        <w:t xml:space="preserve"/>
      </w:r>
    </w:p>
    <w:p>
      <w:pPr>
        <w:pStyle w:val="ListParagraph"/>
        <w:numPr>
          <w:ilvl w:val="0"/>
          <w:numId w:val="2"/>
        </w:numPr>
      </w:pPr>
      <w:r>
        <w:rPr>
          <w:rFonts w:ascii="Arial" w:cs="Arial" w:eastAsia="Arial" w:hAnsi="Arial"/>
          <w:color w:val="1F2937"/>
          <w:sz w:val="20"/>
          <w:szCs w:val="20"/>
        </w:rPr>
        <w:t xml:space="preserve">¿Cuántos formularios distintos hay en el site? Listarlos todos.</w:t>
      </w:r>
    </w:p>
    <w:p>
      <w:pPr>
        <w:pStyle w:val="ListParagraph"/>
        <w:numPr>
          <w:ilvl w:val="0"/>
          <w:numId w:val="2"/>
        </w:numPr>
      </w:pPr>
      <w:r>
        <w:rPr>
          <w:rFonts w:ascii="Arial" w:cs="Arial" w:eastAsia="Arial" w:hAnsi="Arial"/>
          <w:color w:val="1F2937"/>
          <w:sz w:val="20"/>
          <w:szCs w:val="20"/>
        </w:rPr>
        <w:t xml:space="preserve">Para cada formulario: ¿tiene clase .wpcf7-form? → CF7</w:t>
      </w:r>
    </w:p>
    <w:p>
      <w:pPr>
        <w:pStyle w:val="ListParagraph"/>
        <w:numPr>
          <w:ilvl w:val="0"/>
          <w:numId w:val="2"/>
        </w:numPr>
      </w:pPr>
      <w:r>
        <w:rPr>
          <w:rFonts w:ascii="Arial" w:cs="Arial" w:eastAsia="Arial" w:hAnsi="Arial"/>
          <w:color w:val="1F2937"/>
          <w:sz w:val="20"/>
          <w:szCs w:val="20"/>
        </w:rPr>
        <w:t xml:space="preserve">Para cada formulario: ¿tiene id mc_embed_signup o clases mce-? → Mailchimp</w:t>
      </w:r>
    </w:p>
    <w:p>
      <w:pPr>
        <w:pStyle w:val="ListParagraph"/>
        <w:numPr>
          <w:ilvl w:val="0"/>
          <w:numId w:val="2"/>
        </w:numPr>
      </w:pPr>
      <w:r>
        <w:rPr>
          <w:rFonts w:ascii="Arial" w:cs="Arial" w:eastAsia="Arial" w:hAnsi="Arial"/>
          <w:color w:val="1F2937"/>
          <w:sz w:val="20"/>
          <w:szCs w:val="20"/>
        </w:rPr>
        <w:t xml:space="preserve">Para cada formulario: ¿tiene campos billing_ o shipping_? → WooCommerce checkout</w:t>
      </w:r>
    </w:p>
    <w:p>
      <w:pPr>
        <w:pStyle w:val="ListParagraph"/>
        <w:numPr>
          <w:ilvl w:val="0"/>
          <w:numId w:val="2"/>
        </w:numPr>
      </w:pPr>
      <w:r>
        <w:rPr>
          <w:rFonts w:ascii="Arial" w:cs="Arial" w:eastAsia="Arial" w:hAnsi="Arial"/>
          <w:color w:val="1F2937"/>
          <w:sz w:val="20"/>
          <w:szCs w:val="20"/>
        </w:rPr>
        <w:t xml:space="preserve">Para cada formulario: ¿tiene atributo data-formid o class gform_wrapper? → Gravity Forms</w:t>
      </w:r>
    </w:p>
    <w:p>
      <w:pPr>
        <w:pStyle w:val="ListParagraph"/>
        <w:numPr>
          <w:ilvl w:val="0"/>
          <w:numId w:val="2"/>
        </w:numPr>
      </w:pPr>
      <w:r>
        <w:rPr>
          <w:rFonts w:ascii="Arial" w:cs="Arial" w:eastAsia="Arial" w:hAnsi="Arial"/>
          <w:color w:val="1F2937"/>
          <w:sz w:val="20"/>
          <w:szCs w:val="20"/>
        </w:rPr>
        <w:t xml:space="preserve">Para cada formulario: ¿cuál es el evento de éxito? (mensaje en pantalla, redirect, clase CSS de confirmación)</w:t>
      </w:r>
    </w:p>
    <w:p>
      <w:pPr>
        <w:pStyle w:val="ListParagraph"/>
        <w:numPr>
          <w:ilvl w:val="0"/>
          <w:numId w:val="2"/>
        </w:numPr>
      </w:pPr>
      <w:r>
        <w:rPr>
          <w:rFonts w:ascii="Arial" w:cs="Arial" w:eastAsia="Arial" w:hAnsi="Arial"/>
          <w:color w:val="1F2937"/>
          <w:sz w:val="20"/>
          <w:szCs w:val="20"/>
        </w:rPr>
        <w:t xml:space="preserve">Para cada formulario: ¿cuál es el primer campo visible? (para el listener de focus)</w:t>
      </w:r>
    </w:p>
    <w:p>
      <w:pPr>
        <w:pStyle w:val="ListParagraph"/>
        <w:numPr>
          <w:ilvl w:val="0"/>
          <w:numId w:val="2"/>
        </w:numPr>
      </w:pPr>
      <w:r>
        <w:rPr>
          <w:rFonts w:ascii="Arial" w:cs="Arial" w:eastAsia="Arial" w:hAnsi="Arial"/>
          <w:color w:val="1F2937"/>
          <w:sz w:val="20"/>
          <w:szCs w:val="20"/>
        </w:rPr>
        <w:t xml:space="preserve">Confirmar con el cliente si el site usa algún plugin de formularios adicional antes de empezar</w:t>
      </w:r>
    </w:p>
    <w:p>
      <w:pPr>
        <w:spacing w:before="80" w:after="0"/>
      </w:pPr>
      <w:r>
        <w:t xml:space="preserve"/>
      </w:r>
    </w:p>
    <w:p>
      <w:pPr>
        <w:pBdr>
          <w:bottom w:val="single" w:color="00D4AA" w:sz="6"/>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Borders>
              <w:top w:val="nil"/>
              <w:left w:val="nil"/>
              <w:bottom w:val="nil"/>
              <w:right w:val="nil"/>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02. No identificar la página de éxito de compra como trigger de generate_lead</w:t>
            </w:r>
          </w:p>
        </w:tc>
        <w:tc>
          <w:tcPr>
            <w:tcBorders>
              <w:top w:val="nil"/>
              <w:left w:val="nil"/>
              <w:bottom w:val="nil"/>
              <w:right w:val="nil"/>
            </w:tcBorders>
            <w:shd w:fill="EF4444"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ERROR</w:t>
            </w:r>
          </w:p>
        </w:tc>
      </w:tr>
    </w:tbl>
    <w:p>
      <w:pPr>
        <w:spacing w:before="80" w:after="0"/>
      </w:pPr>
      <w:r>
        <w:t xml:space="preserve"/>
      </w:r>
    </w:p>
    <w:p>
      <w:pPr>
        <w:pStyle w:val="Heading2"/>
      </w:pPr>
      <w:r>
        <w:rPr>
          <w:rFonts w:ascii="Arial" w:cs="Arial" w:eastAsia="Arial" w:hAnsi="Arial"/>
          <w:b/>
          <w:bCs/>
          <w:color w:val="1A1A2E"/>
          <w:sz w:val="26"/>
          <w:szCs w:val="26"/>
        </w:rPr>
        <w:t xml:space="preserve">Qué pasó</w:t>
      </w:r>
    </w:p>
    <w:p>
      <w:r>
        <w:rPr>
          <w:rFonts w:ascii="Arial" w:cs="Arial" w:eastAsia="Arial" w:hAnsi="Arial"/>
          <w:color w:val="1F2937"/>
          <w:sz w:val="20"/>
          <w:szCs w:val="20"/>
        </w:rPr>
        <w:t xml:space="preserve">Para el generate_lead del checkout de WooCommerce se intentó inicialmente capturar el evento usando checkout_place_order_success (evento jQuery de WooCommerce que se dispara cuando el servidor acepta el pedido). Esto no funciona de forma fiable porque hay una carrera entre el evento JavaScript y el redirect del navegador a /order-received — en muchos casos el redirect ocurre antes de que GTM pueda enviar el hit a GA4.</w:t>
      </w:r>
    </w:p>
    <w:p>
      <w:pPr>
        <w:spacing w:before="80" w:after="0"/>
      </w:pPr>
      <w:r>
        <w:t xml:space="preserve"/>
      </w:r>
    </w:p>
    <w:p>
      <w:pPr>
        <w:pStyle w:val="Heading2"/>
      </w:pPr>
      <w:r>
        <w:rPr>
          <w:rFonts w:ascii="Arial" w:cs="Arial" w:eastAsia="Arial" w:hAnsi="Arial"/>
          <w:b/>
          <w:bCs/>
          <w:color w:val="1A1A2E"/>
          <w:sz w:val="26"/>
          <w:szCs w:val="26"/>
        </w:rPr>
        <w:t xml:space="preserve">Por qué ocurrió</w:t>
      </w:r>
    </w:p>
    <w:p>
      <w:r>
        <w:rPr>
          <w:rFonts w:ascii="Arial" w:cs="Arial" w:eastAsia="Arial" w:hAnsi="Arial"/>
          <w:color w:val="1F2937"/>
          <w:sz w:val="20"/>
          <w:szCs w:val="20"/>
        </w:rPr>
        <w:t xml:space="preserve">Se buscó el evento de éxito en el lado cliente (JavaScript) sin considerar que WooCommerce ya provee una página de confirmación de pedido con URL propia y predecible. La solución más robusta estaba en el servidor, no en el cliente.</w:t>
      </w:r>
    </w:p>
    <w:p>
      <w:pPr>
        <w:spacing w:before="80" w:after="0"/>
      </w:pPr>
      <w:r>
        <w:t xml:space="preserve"/>
      </w:r>
    </w:p>
    <w:p>
      <w:pPr>
        <w:pStyle w:val="Heading2"/>
      </w:pPr>
      <w:r>
        <w:rPr>
          <w:rFonts w:ascii="Arial" w:cs="Arial" w:eastAsia="Arial" w:hAnsi="Arial"/>
          <w:b/>
          <w:bCs/>
          <w:color w:val="1A1A2E"/>
          <w:sz w:val="26"/>
          <w:szCs w:val="26"/>
        </w:rPr>
        <w:t xml:space="preserve">Cómo se resolvió</w:t>
      </w:r>
    </w:p>
    <w:p>
      <w:r>
        <w:rPr>
          <w:rFonts w:ascii="Arial" w:cs="Arial" w:eastAsia="Arial" w:hAnsi="Arial"/>
          <w:color w:val="1F2937"/>
          <w:sz w:val="20"/>
          <w:szCs w:val="20"/>
        </w:rPr>
        <w:t xml:space="preserve">Se identificó la URL de la página de éxito de compra (https://future-a.com/checkout/order-received/[id]/?key=...) y se creó un trigger de tipo Vista de una página con condición Page Path contiene /order-received. Este pageview solo ocurre cuando el pedido se ha procesado correctamente, es 100% fiable, y no depende de la velocidad del navegador.</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3B82F6" w:sz="4"/>
              <w:left w:val="single" w:color="3B82F6" w:sz="16"/>
              <w:bottom w:val="single" w:color="3B82F6" w:sz="4"/>
              <w:right w:val="single" w:color="3B82F6" w:sz="4"/>
            </w:tcBorders>
            <w:shd w:fill="EFF6FF" w:val="clear"/>
            <w:tcMar>
              <w:top w:type="dxa" w:w="140"/>
              <w:left w:type="dxa" w:w="220"/>
              <w:bottom w:type="dxa" w:w="140"/>
              <w:right w:type="dxa" w:w="220"/>
            </w:tcMar>
          </w:tcPr>
          <w:p>
            <w:r>
              <w:rPr>
                <w:rFonts w:ascii="Arial" w:cs="Arial" w:eastAsia="Arial" w:hAnsi="Arial"/>
                <w:color w:val="1E40AF"/>
                <w:sz w:val="19"/>
                <w:szCs w:val="19"/>
              </w:rPr>
              <w:t xml:space="preserve">💡  PATRÓN GENERAL: En cualquier eCommerce o plataforma con proceso de compra/registro, siempre identificar la página de éxito antes de decidir cómo trackear el generate_lead. Un pageview en la página de confirmación es siempre más fiable que un evento JavaScript que compite con un redirect.</w:t>
            </w:r>
          </w:p>
        </w:tc>
      </w:tr>
    </w:tbl>
    <w:p>
      <w:pPr>
        <w:spacing w:before="80" w:after="0"/>
      </w:pPr>
      <w:r>
        <w:t xml:space="preserve"/>
      </w:r>
    </w:p>
    <w:p>
      <w:pPr>
        <w:pStyle w:val="Heading2"/>
      </w:pPr>
      <w:r>
        <w:rPr>
          <w:rFonts w:ascii="Arial" w:cs="Arial" w:eastAsia="Arial" w:hAnsi="Arial"/>
          <w:b/>
          <w:bCs/>
          <w:color w:val="1A1A2E"/>
          <w:sz w:val="26"/>
          <w:szCs w:val="26"/>
        </w:rPr>
        <w:t xml:space="preserve">Regla nueva para GTMXpert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Plataforma</w:t>
            </w:r>
          </w:p>
        </w:tc>
        <w:tc>
          <w:tcPr>
            <w:tcW w:type="dxa" w:w="31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URL de éxito típica</w:t>
            </w:r>
          </w:p>
        </w:tc>
        <w:tc>
          <w:tcPr>
            <w:tcW w:type="dxa" w:w="31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Trigger GTM</w:t>
            </w:r>
          </w:p>
        </w:tc>
      </w:tr>
      <w:tr>
        <w:tc>
          <w:tcPr>
            <w:tcW w:type="dxa" w:w="30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WooCommerce</w:t>
            </w:r>
          </w:p>
        </w:tc>
        <w:tc>
          <w:tcPr>
            <w:tcW w:type="dxa" w:w="31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/checkout/order-received/</w:t>
            </w:r>
          </w:p>
        </w:tc>
        <w:tc>
          <w:tcPr>
            <w:tcW w:type="dxa" w:w="31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Page Path contiene /order-received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Easy Digital Downloads</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/purchase-confirmation/</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Page Path contiene /purchase-confirmation</w:t>
            </w:r>
          </w:p>
        </w:tc>
      </w:tr>
      <w:tr>
        <w:tc>
          <w:tcPr>
            <w:tcW w:type="dxa" w:w="30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WooCommerce Suscripciones</w:t>
            </w:r>
          </w:p>
        </w:tc>
        <w:tc>
          <w:tcPr>
            <w:tcW w:type="dxa" w:w="31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/checkout/order-received/ (igual)</w:t>
            </w:r>
          </w:p>
        </w:tc>
        <w:tc>
          <w:tcPr>
            <w:tcW w:type="dxa" w:w="31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Page Path contiene /order-received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Formulario CF7</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 hay redirect — mensaje inline</w:t>
            </w:r>
          </w:p>
        </w:tc>
        <w:tc>
          <w:tcPr>
            <w:tcW w:type="dxa" w:w="31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Evento JS: wpcf7mailsent</w:t>
            </w:r>
          </w:p>
        </w:tc>
      </w:tr>
      <w:tr>
        <w:tc>
          <w:tcPr>
            <w:tcW w:type="dxa" w:w="30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Mailchimp embedded</w:t>
            </w:r>
          </w:p>
        </w:tc>
        <w:tc>
          <w:tcPr>
            <w:tcW w:type="dxa" w:w="31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No hay redirect — div de confirmacion</w:t>
            </w:r>
          </w:p>
        </w:tc>
        <w:tc>
          <w:tcPr>
            <w:tcW w:type="dxa" w:w="31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MutationObserver sobre #mce-success-response</w:t>
            </w:r>
          </w:p>
        </w:tc>
      </w:tr>
    </w:tbl>
    <w:p>
      <w:pPr>
        <w:spacing w:before="80" w:after="0"/>
      </w:pPr>
      <w:r>
        <w:t xml:space="preserve"/>
      </w:r>
    </w:p>
    <w:p>
      <w:pPr>
        <w:pStyle w:val="Heading3"/>
      </w:pPr>
      <w:r>
        <w:rPr>
          <w:rFonts w:ascii="Arial" w:cs="Arial" w:eastAsia="Arial" w:hAnsi="Arial"/>
          <w:b/>
          <w:bCs/>
          <w:color w:val="374151"/>
          <w:sz w:val="22"/>
          <w:szCs w:val="22"/>
        </w:rPr>
        <w:t xml:space="preserve">Preguntas a añadir al brief de inicio de proyecto — eCommerce</w:t>
      </w:r>
    </w:p>
    <w:p>
      <w:pPr>
        <w:spacing w:before="80" w:after="0"/>
      </w:pPr>
      <w:r>
        <w:t xml:space="preserve"/>
      </w:r>
    </w:p>
    <w:p>
      <w:pPr>
        <w:pStyle w:val="ListParagraph"/>
        <w:numPr>
          <w:ilvl w:val="0"/>
          <w:numId w:val="2"/>
        </w:numPr>
      </w:pPr>
      <w:r>
        <w:rPr>
          <w:rFonts w:ascii="Arial" w:cs="Arial" w:eastAsia="Arial" w:hAnsi="Arial"/>
          <w:color w:val="1F2937"/>
          <w:sz w:val="20"/>
          <w:szCs w:val="20"/>
        </w:rPr>
        <w:t xml:space="preserve">¿Cuál es la URL exacta de la página de confirmación de pedido?</w:t>
      </w:r>
    </w:p>
    <w:p>
      <w:pPr>
        <w:pStyle w:val="ListParagraph"/>
        <w:numPr>
          <w:ilvl w:val="0"/>
          <w:numId w:val="2"/>
        </w:numPr>
      </w:pPr>
      <w:r>
        <w:rPr>
          <w:rFonts w:ascii="Arial" w:cs="Arial" w:eastAsia="Arial" w:hAnsi="Arial"/>
          <w:color w:val="1F2937"/>
          <w:sz w:val="20"/>
          <w:szCs w:val="20"/>
        </w:rPr>
        <w:t xml:space="preserve">¿Tiene el site alguna página de "registro completado" o "suscripción activada"?</w:t>
      </w:r>
    </w:p>
    <w:p>
      <w:pPr>
        <w:pStyle w:val="ListParagraph"/>
        <w:numPr>
          <w:ilvl w:val="0"/>
          <w:numId w:val="2"/>
        </w:numPr>
      </w:pPr>
      <w:r>
        <w:rPr>
          <w:rFonts w:ascii="Arial" w:cs="Arial" w:eastAsia="Arial" w:hAnsi="Arial"/>
          <w:color w:val="1F2937"/>
          <w:sz w:val="20"/>
          <w:szCs w:val="20"/>
        </w:rPr>
        <w:t xml:space="preserve">¿Hay páginas de thank-you para formularios (redirect tras submit) o el mensaje es inline?</w:t>
      </w:r>
    </w:p>
    <w:p>
      <w:pPr>
        <w:pStyle w:val="ListParagraph"/>
        <w:numPr>
          <w:ilvl w:val="0"/>
          <w:numId w:val="2"/>
        </w:numPr>
      </w:pPr>
      <w:r>
        <w:rPr>
          <w:rFonts w:ascii="Arial" w:cs="Arial" w:eastAsia="Arial" w:hAnsi="Arial"/>
          <w:color w:val="1F2937"/>
          <w:sz w:val="20"/>
          <w:szCs w:val="20"/>
        </w:rPr>
        <w:t xml:space="preserve">Navegar manualmente por el flujo de compra completo y anotar todas las URLs por las que pasa el usuario</w:t>
      </w:r>
    </w:p>
    <w:p>
      <w:pPr>
        <w:spacing w:before="80" w:after="0"/>
      </w:pPr>
      <w:r>
        <w:t xml:space="preserve"/>
      </w:r>
    </w:p>
    <w:p>
      <w:pPr>
        <w:pBdr>
          <w:bottom w:val="single" w:color="00D4AA" w:sz="6"/>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Borders>
              <w:top w:val="nil"/>
              <w:left w:val="nil"/>
              <w:bottom w:val="nil"/>
              <w:right w:val="nil"/>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03. Trigger de evento personalizado sin código que pushee ese evento al dataLayer</w:t>
            </w:r>
          </w:p>
        </w:tc>
        <w:tc>
          <w:tcPr>
            <w:tcBorders>
              <w:top w:val="nil"/>
              <w:left w:val="nil"/>
              <w:bottom w:val="nil"/>
              <w:right w:val="nil"/>
            </w:tcBorders>
            <w:shd w:fill="EF4444"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ERROR</w:t>
            </w:r>
          </w:p>
        </w:tc>
      </w:tr>
    </w:tbl>
    <w:p>
      <w:pPr>
        <w:spacing w:before="80" w:after="0"/>
      </w:pPr>
      <w:r>
        <w:t xml:space="preserve"/>
      </w:r>
    </w:p>
    <w:p>
      <w:pPr>
        <w:pStyle w:val="Heading2"/>
      </w:pPr>
      <w:r>
        <w:rPr>
          <w:rFonts w:ascii="Arial" w:cs="Arial" w:eastAsia="Arial" w:hAnsi="Arial"/>
          <w:b/>
          <w:bCs/>
          <w:color w:val="1A1A2E"/>
          <w:sz w:val="26"/>
          <w:szCs w:val="26"/>
        </w:rPr>
        <w:t xml:space="preserve">Qué pasó</w:t>
      </w:r>
    </w:p>
    <w:p>
      <w:r>
        <w:rPr>
          <w:rFonts w:ascii="Arial" w:cs="Arial" w:eastAsia="Arial" w:hAnsi="Arial"/>
          <w:color w:val="1F2937"/>
          <w:sz w:val="20"/>
          <w:szCs w:val="20"/>
        </w:rPr>
        <w:t xml:space="preserve">El trigger Submit-Form estaba configurado como Evento personalizado escuchando wpcf7mailsent, pero tenía una condición adicional: Click Classes contiene wpcf7-form init. Esta condición es de tipo clic y nunca se cumple cuando lo que se escucha es un evento de documento (wpcf7mailsent es un CustomEvent que dispara el propio CF7 en el document, no un clic). El resultado: la etiqueta FB - contact lead nunca se disparaba.</w:t>
      </w:r>
    </w:p>
    <w:p>
      <w:pPr>
        <w:spacing w:before="80" w:after="0"/>
      </w:pPr>
      <w:r>
        <w:t xml:space="preserve"/>
      </w:r>
    </w:p>
    <w:p>
      <w:pPr>
        <w:pStyle w:val="Heading2"/>
      </w:pPr>
      <w:r>
        <w:rPr>
          <w:rFonts w:ascii="Arial" w:cs="Arial" w:eastAsia="Arial" w:hAnsi="Arial"/>
          <w:b/>
          <w:bCs/>
          <w:color w:val="1A1A2E"/>
          <w:sz w:val="26"/>
          <w:szCs w:val="26"/>
        </w:rPr>
        <w:t xml:space="preserve">Por qué ocurrió</w:t>
      </w:r>
    </w:p>
    <w:p>
      <w:r>
        <w:rPr>
          <w:rFonts w:ascii="Arial" w:cs="Arial" w:eastAsia="Arial" w:hAnsi="Arial"/>
          <w:color w:val="1F2937"/>
          <w:sz w:val="20"/>
          <w:szCs w:val="20"/>
        </w:rPr>
        <w:t xml:space="preserve">Al construir el trigger se mezcló lógica de dos tipos de activador distintos. La condición Click Classes tiene sentido en triggers de clic, pero wpcf7mailsent es un evento de documento — no tiene Click Element, no tiene Click Classes. GTM no advierte de esta inconsistencia y simplemente no matchea nunca.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6"/>
              <w:bottom w:val="single" w:color="EF4444" w:sz="4"/>
              <w:right w:val="single" w:color="EF4444" w:sz="4"/>
            </w:tcBorders>
            <w:shd w:fill="FEF2F2" w:val="clear"/>
            <w:tcMar>
              <w:top w:type="dxa" w:w="140"/>
              <w:left w:type="dxa" w:w="220"/>
              <w:bottom w:type="dxa" w:w="140"/>
              <w:right w:type="dxa" w:w="220"/>
            </w:tcMar>
          </w:tcPr>
          <w:p>
            <w:r>
              <w:rPr>
                <w:rFonts w:ascii="Arial" w:cs="Arial" w:eastAsia="Arial" w:hAnsi="Arial"/>
                <w:color w:val="991B1B"/>
                <w:sz w:val="19"/>
                <w:szCs w:val="19"/>
              </w:rPr>
              <w:t xml:space="preserve">🚫  REGLA: Un trigger de Evento personalizado que escucha un evento JavaScript de documento (wpcf7mailsent, checkout_place_order_success, etc.) NO debe tener condiciones de tipo Click. Esas condiciones solo aplican a eventos de clic. Si se necesita filtrar, usar parámetros del propio dataLayer.push.</w:t>
            </w:r>
          </w:p>
        </w:tc>
      </w:tr>
    </w:tbl>
    <w:p>
      <w:pPr>
        <w:spacing w:before="80" w:after="0"/>
      </w:pPr>
      <w:r>
        <w:t xml:space="preserve"/>
      </w:r>
    </w:p>
    <w:p>
      <w:pPr>
        <w:pStyle w:val="Heading2"/>
      </w:pPr>
      <w:r>
        <w:rPr>
          <w:rFonts w:ascii="Arial" w:cs="Arial" w:eastAsia="Arial" w:hAnsi="Arial"/>
          <w:b/>
          <w:bCs/>
          <w:color w:val="1A1A2E"/>
          <w:sz w:val="26"/>
          <w:szCs w:val="26"/>
        </w:rPr>
        <w:t xml:space="preserve">Cómo detectarlo en futuros proyectos</w:t>
      </w:r>
    </w:p>
    <w:p>
      <w:pPr>
        <w:spacing w:before="80" w:after="0"/>
      </w:pPr>
      <w:r>
        <w:t xml:space="preserve"/>
      </w:r>
    </w:p>
    <w:p>
      <w:pPr>
        <w:pStyle w:val="ListParagraph"/>
        <w:numPr>
          <w:ilvl w:val="0"/>
          <w:numId w:val="2"/>
        </w:numPr>
      </w:pPr>
      <w:r>
        <w:rPr>
          <w:rFonts w:ascii="Arial" w:cs="Arial" w:eastAsia="Arial" w:hAnsi="Arial"/>
          <w:color w:val="1F2937"/>
          <w:sz w:val="20"/>
          <w:szCs w:val="20"/>
        </w:rPr>
        <w:t xml:space="preserve">Al crear un trigger de Evento personalizado, revisar que todas las condiciones adicionales sean del mismo tipo que el evento (dataLayer variables, Page Path, etc.)</w:t>
      </w:r>
    </w:p>
    <w:p>
      <w:pPr>
        <w:pStyle w:val="ListParagraph"/>
        <w:numPr>
          <w:ilvl w:val="0"/>
          <w:numId w:val="2"/>
        </w:numPr>
      </w:pPr>
      <w:r>
        <w:rPr>
          <w:rFonts w:ascii="Arial" w:cs="Arial" w:eastAsia="Arial" w:hAnsi="Arial"/>
          <w:color w:val="1F2937"/>
          <w:sz w:val="20"/>
          <w:szCs w:val="20"/>
        </w:rPr>
        <w:t xml:space="preserve">Si el trigger tiene condiciones Click Classes o Click ID, verificar que el tipo de activador sea de clic, no de evento personalizado</w:t>
      </w:r>
    </w:p>
    <w:p>
      <w:pPr>
        <w:pStyle w:val="ListParagraph"/>
        <w:numPr>
          <w:ilvl w:val="0"/>
          <w:numId w:val="2"/>
        </w:numPr>
      </w:pPr>
      <w:r>
        <w:rPr>
          <w:rFonts w:ascii="Arial" w:cs="Arial" w:eastAsia="Arial" w:hAnsi="Arial"/>
          <w:color w:val="1F2937"/>
          <w:sz w:val="20"/>
          <w:szCs w:val="20"/>
        </w:rPr>
        <w:t xml:space="preserve">En GTM Preview: si un trigger aparece como "no activado" cuando debería haberse activado, revisar primero las condiciones adicionales antes de asumir que el código falla</w:t>
      </w:r>
    </w:p>
    <w:p>
      <w:pPr>
        <w:pStyle w:val="ListParagraph"/>
        <w:numPr>
          <w:ilvl w:val="0"/>
          <w:numId w:val="2"/>
        </w:numPr>
      </w:pPr>
      <w:r>
        <w:rPr>
          <w:rFonts w:ascii="Arial" w:cs="Arial" w:eastAsia="Arial" w:hAnsi="Arial"/>
          <w:color w:val="1F2937"/>
          <w:sz w:val="20"/>
          <w:szCs w:val="20"/>
        </w:rPr>
        <w:t xml:space="preserve">Para wpcf7mailsent: el trigger correcto es Evento personalizado + nombre wpcf7mailsent + Todos los eventos personalizados. Sin condiciones adicionales.</w:t>
      </w:r>
    </w:p>
    <w:p>
      <w:pPr>
        <w:spacing w:before="80" w:after="0"/>
      </w:pPr>
      <w:r>
        <w:t xml:space="preserve"/>
      </w:r>
    </w:p>
    <w:p>
      <w:pPr>
        <w:pBdr>
          <w:bottom w:val="single" w:color="00D4AA" w:sz="6"/>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Borders>
              <w:top w:val="nil"/>
              <w:left w:val="nil"/>
              <w:bottom w:val="nil"/>
              <w:right w:val="nil"/>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04. Usar clic en el contenedor del formulario como begin_form</w:t>
            </w:r>
          </w:p>
        </w:tc>
        <w:tc>
          <w:tcPr>
            <w:tcBorders>
              <w:top w:val="nil"/>
              <w:left w:val="nil"/>
              <w:bottom w:val="nil"/>
              <w:right w:val="nil"/>
            </w:tcBorders>
            <w:shd w:fill="EF4444"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ERROR</w:t>
            </w:r>
          </w:p>
        </w:tc>
      </w:tr>
    </w:tbl>
    <w:p>
      <w:pPr>
        <w:spacing w:before="80" w:after="0"/>
      </w:pPr>
      <w:r>
        <w:t xml:space="preserve"/>
      </w:r>
    </w:p>
    <w:p>
      <w:pPr>
        <w:pStyle w:val="Heading2"/>
      </w:pPr>
      <w:r>
        <w:rPr>
          <w:rFonts w:ascii="Arial" w:cs="Arial" w:eastAsia="Arial" w:hAnsi="Arial"/>
          <w:b/>
          <w:bCs/>
          <w:color w:val="1A1A2E"/>
          <w:sz w:val="26"/>
          <w:szCs w:val="26"/>
        </w:rPr>
        <w:t xml:space="preserve">Qué pasó</w:t>
      </w:r>
    </w:p>
    <w:p>
      <w:r>
        <w:rPr>
          <w:rFonts w:ascii="Arial" w:cs="Arial" w:eastAsia="Arial" w:hAnsi="Arial"/>
          <w:color w:val="1F2937"/>
          <w:sz w:val="20"/>
          <w:szCs w:val="20"/>
        </w:rPr>
        <w:t xml:space="preserve">El trigger Form-start estaba configurado como Clic - Todos los elementos con condición Click Classes contiene wpcf7-form. Esto trackea cualquier clic dentro del formulario, incluyendo clics en labels, en el propio contenedor, en iconos decorativos, y también en el botón de submit — lo que significa que un usuario que solo hace clic en enviar sin rellenar nada también dispara el evento.</w:t>
      </w:r>
    </w:p>
    <w:p>
      <w:pPr>
        <w:spacing w:before="80" w:after="0"/>
      </w:pPr>
      <w:r>
        <w:t xml:space="preserve"/>
      </w:r>
    </w:p>
    <w:p>
      <w:pPr>
        <w:pStyle w:val="Heading2"/>
      </w:pPr>
      <w:r>
        <w:rPr>
          <w:rFonts w:ascii="Arial" w:cs="Arial" w:eastAsia="Arial" w:hAnsi="Arial"/>
          <w:b/>
          <w:bCs/>
          <w:color w:val="1A1A2E"/>
          <w:sz w:val="26"/>
          <w:szCs w:val="26"/>
        </w:rPr>
        <w:t xml:space="preserve">Por qué es incorrecto</w:t>
      </w:r>
    </w:p>
    <w:p>
      <w:r>
        <w:rPr>
          <w:rFonts w:ascii="Arial" w:cs="Arial" w:eastAsia="Arial" w:hAnsi="Arial"/>
          <w:color w:val="1F2937"/>
          <w:sz w:val="20"/>
          <w:szCs w:val="20"/>
        </w:rPr>
        <w:t xml:space="preserve">Un clic en el contenedor del formulario no equivale a intención real de rellenarlo. El evento begin_form debe representar el momento en que el usuario empieza a introducir datos — que es el primer focus en un campo de entrada. Además, un clic en el submit también dispara este trigger, lo que hace que begin_form y generate_lead se disparen en el mismo instante, haciendo imposible calcular la tasa de abandono.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6"/>
              <w:bottom w:val="single" w:color="EF4444" w:sz="4"/>
              <w:right w:val="single" w:color="EF4444" w:sz="4"/>
            </w:tcBorders>
            <w:shd w:fill="FEF2F2" w:val="clear"/>
            <w:tcMar>
              <w:top w:type="dxa" w:w="140"/>
              <w:left w:type="dxa" w:w="220"/>
              <w:bottom w:type="dxa" w:w="140"/>
              <w:right w:type="dxa" w:w="220"/>
            </w:tcMar>
          </w:tcPr>
          <w:p>
            <w:r>
              <w:rPr>
                <w:rFonts w:ascii="Arial" w:cs="Arial" w:eastAsia="Arial" w:hAnsi="Arial"/>
                <w:color w:val="991B1B"/>
                <w:sz w:val="19"/>
                <w:szCs w:val="19"/>
              </w:rPr>
              <w:t xml:space="preserve">🚫  REGLA ESTÁNDAR ESES (confirmada): begin_form siempre debe usar un listener de focus en el primer campo de entrada visible, implementado via Custom HTML. Nunca un trigger de clic en el contenedor del formulario. Nunca Element Visibility. Solo Custom HTML + addEventListener focus.</w:t>
            </w:r>
          </w:p>
        </w:tc>
      </w:tr>
    </w:tbl>
    <w:p>
      <w:pPr>
        <w:spacing w:before="80" w:after="0"/>
      </w:pPr>
      <w:r>
        <w:t xml:space="preserve"/>
      </w:r>
    </w:p>
    <w:p>
      <w:pPr>
        <w:pStyle w:val="Heading2"/>
      </w:pPr>
      <w:r>
        <w:rPr>
          <w:rFonts w:ascii="Arial" w:cs="Arial" w:eastAsia="Arial" w:hAnsi="Arial"/>
          <w:b/>
          <w:bCs/>
          <w:color w:val="1A1A2E"/>
          <w:sz w:val="26"/>
          <w:szCs w:val="26"/>
        </w:rPr>
        <w:t xml:space="preserve">Patrón correcto consolidado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Tecnología</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Patrón INCORRECTO</w:t>
            </w:r>
          </w:p>
        </w:tc>
        <w:tc>
          <w:tcPr>
            <w:tcW w:type="dxa" w:w="35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Patrón CORRECTO</w:t>
            </w:r>
          </w:p>
        </w:tc>
      </w:tr>
      <w:tr>
        <w:tc>
          <w:tcPr>
            <w:tcW w:type="dxa" w:w="22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CF7</w:t>
            </w:r>
          </w:p>
        </w:tc>
        <w:tc>
          <w:tcPr>
            <w:tcW w:type="dxa" w:w="35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Clic - Todos los elementos, Click Classes contiene wpcf7-form</w:t>
            </w:r>
          </w:p>
        </w:tc>
        <w:tc>
          <w:tcPr>
            <w:tcW w:type="dxa" w:w="35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Custom HTML + focus en form.querySelector("input, textarea, select")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Mailchimp</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Element Visibility sobre #mc_embed_signup</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Custom HTML + focus en input[name="EMAIL"]</w:t>
            </w:r>
          </w:p>
        </w:tc>
      </w:tr>
      <w:tr>
        <w:tc>
          <w:tcPr>
            <w:tcW w:type="dxa" w:w="22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WooCommerce checkout</w:t>
            </w:r>
          </w:p>
        </w:tc>
        <w:tc>
          <w:tcPr>
            <w:tcW w:type="dxa" w:w="35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Clic en #place_order o Form Submission nativo</w:t>
            </w:r>
          </w:p>
        </w:tc>
        <w:tc>
          <w:tcPr>
            <w:tcW w:type="dxa" w:w="358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Custom HTML + focus en #billing_first_name</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Cualquier formulario HTML nativo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GTM Form Submission trigger nativo</w:t>
            </w:r>
          </w:p>
        </w:tc>
        <w:tc>
          <w:tcPr>
            <w:tcW w:type="dxa" w:w="35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Custom HTML + focus en el primer input visible</w:t>
            </w:r>
          </w:p>
        </w:tc>
      </w:tr>
    </w:tbl>
    <w:p>
      <w:pPr>
        <w:spacing w:before="80" w:after="0"/>
      </w:pPr>
      <w:r>
        <w:t xml:space="preserve"/>
      </w:r>
    </w:p>
    <w:p>
      <w:pPr>
        <w:pBdr>
          <w:bottom w:val="single" w:color="00D4AA" w:sz="6"/>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Borders>
              <w:top w:val="nil"/>
              <w:left w:val="nil"/>
              <w:bottom w:val="nil"/>
              <w:right w:val="nil"/>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05. Custom HTML con disparador All Pages en lugar de Page Path</w:t>
            </w:r>
          </w:p>
        </w:tc>
        <w:tc>
          <w:tcPr>
            <w:tcBorders>
              <w:top w:val="nil"/>
              <w:left w:val="nil"/>
              <w:bottom w:val="nil"/>
              <w:right w:val="nil"/>
            </w:tcBorders>
            <w:shd w:fill="3B82F6"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APRENDIZAJE</w:t>
            </w:r>
          </w:p>
        </w:tc>
      </w:tr>
    </w:tbl>
    <w:p>
      <w:pPr>
        <w:spacing w:before="80" w:after="0"/>
      </w:pPr>
      <w:r>
        <w:t xml:space="preserve"/>
      </w:r>
    </w:p>
    <w:p>
      <w:pPr>
        <w:pStyle w:val="Heading2"/>
      </w:pPr>
      <w:r>
        <w:rPr>
          <w:rFonts w:ascii="Arial" w:cs="Arial" w:eastAsia="Arial" w:hAnsi="Arial"/>
          <w:b/>
          <w:bCs/>
          <w:color w:val="1A1A2E"/>
          <w:sz w:val="26"/>
          <w:szCs w:val="26"/>
        </w:rPr>
        <w:t xml:space="preserve">Qué pasó</w:t>
      </w:r>
    </w:p>
    <w:p>
      <w:r>
        <w:rPr>
          <w:rFonts w:ascii="Arial" w:cs="Arial" w:eastAsia="Arial" w:hAnsi="Arial"/>
          <w:color w:val="1F2937"/>
          <w:sz w:val="20"/>
          <w:szCs w:val="20"/>
        </w:rPr>
        <w:t xml:space="preserve">El Custom HTML del carrito abandonado tenía disparador All Pages. Aunque el código internamente tiene la comprobación if (pathname.indexOf("/checkout") === -1) return;, en GTM Preview aparecía la etiqueta como "activada" en todas las páginas del site, creando confusión al debuggear — era difícil distinguir si el script estaba fallando o simplemente saliendo por el return temprano.</w:t>
      </w:r>
    </w:p>
    <w:p>
      <w:pPr>
        <w:spacing w:before="80" w:after="0"/>
      </w:pPr>
      <w:r>
        <w:t xml:space="preserve"/>
      </w:r>
    </w:p>
    <w:p>
      <w:pPr>
        <w:pStyle w:val="Heading2"/>
      </w:pPr>
      <w:r>
        <w:rPr>
          <w:rFonts w:ascii="Arial" w:cs="Arial" w:eastAsia="Arial" w:hAnsi="Arial"/>
          <w:b/>
          <w:bCs/>
          <w:color w:val="1A1A2E"/>
          <w:sz w:val="26"/>
          <w:szCs w:val="26"/>
        </w:rPr>
        <w:t xml:space="preserve">La regla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59E0B" w:sz="4"/>
              <w:left w:val="single" w:color="F59E0B" w:sz="16"/>
              <w:bottom w:val="single" w:color="F59E0B" w:sz="4"/>
              <w:right w:val="single" w:color="F59E0B" w:sz="4"/>
            </w:tcBorders>
            <w:shd w:fill="FFFBEB" w:val="clear"/>
            <w:tcMar>
              <w:top w:type="dxa" w:w="140"/>
              <w:left w:type="dxa" w:w="220"/>
              <w:bottom w:type="dxa" w:w="140"/>
              <w:right w:type="dxa" w:w="220"/>
            </w:tcMar>
          </w:tcPr>
          <w:p>
            <w:r>
              <w:rPr>
                <w:rFonts w:ascii="Arial" w:cs="Arial" w:eastAsia="Arial" w:hAnsi="Arial"/>
                <w:color w:val="92400E"/>
                <w:sz w:val="19"/>
                <w:szCs w:val="19"/>
              </w:rPr>
              <w:t xml:space="preserve">⚠️  REGLA ESTÁNDAR ESES (confirmada, Punto A): El disparador de cualquier Custom HTML listener debe ser siempre Page Path contiene /ruta, nunca All Pages, aunque el código tenga comprobación interna. Esto evita confusión en GTM Preview y facilita el debug.</w:t>
            </w:r>
          </w:p>
        </w:tc>
      </w:tr>
    </w:tbl>
    <w:p>
      <w:pPr>
        <w:spacing w:before="80" w:after="0"/>
      </w:pPr>
      <w:r>
        <w:t xml:space="preserve"/>
      </w:r>
    </w:p>
    <w:p>
      <w:r>
        <w:rPr>
          <w:rFonts w:ascii="Arial" w:cs="Arial" w:eastAsia="Arial" w:hAnsi="Arial"/>
          <w:color w:val="1F2937"/>
          <w:sz w:val="20"/>
          <w:szCs w:val="20"/>
        </w:rPr>
        <w:t xml:space="preserve">La única excepción justificada es cuando el Custom HTML gestiona múltiples formularios en páginas distintas y no hay una ruta común. En ese caso, documentar explícitamente en la guía por qué se usa All Pages.</w:t>
      </w:r>
    </w:p>
    <w:p>
      <w:pPr>
        <w:spacing w:before="80" w:after="0"/>
      </w:pPr>
      <w:r>
        <w:t xml:space="preserve"/>
      </w:r>
    </w:p>
    <w:p>
      <w:pPr>
        <w:pStyle w:val="Heading2"/>
      </w:pPr>
      <w:r>
        <w:rPr>
          <w:rFonts w:ascii="Arial" w:cs="Arial" w:eastAsia="Arial" w:hAnsi="Arial"/>
          <w:b/>
          <w:bCs/>
          <w:color w:val="1A1A2E"/>
          <w:sz w:val="26"/>
          <w:szCs w:val="26"/>
        </w:rPr>
        <w:t xml:space="preserve">Aplicación en este proyecto</w:t>
      </w:r>
    </w:p>
    <w:p>
      <w:pPr>
        <w:pStyle w:val="ListParagraph"/>
        <w:numPr>
          <w:ilvl w:val="0"/>
          <w:numId w:val="3"/>
        </w:numPr>
      </w:pPr>
      <w:r>
        <w:rPr>
          <w:rFonts w:ascii="Arial" w:cs="Arial" w:eastAsia="Arial" w:hAnsi="Arial"/>
          <w:color w:val="1F2937"/>
          <w:sz w:val="20"/>
          <w:szCs w:val="20"/>
        </w:rPr>
        <w:t xml:space="preserve">HTML - Carrito abandonado: cambiado de All Pages a Page Path contiene /checkout</w:t>
      </w:r>
    </w:p>
    <w:p>
      <w:pPr>
        <w:pStyle w:val="ListParagraph"/>
        <w:numPr>
          <w:ilvl w:val="0"/>
          <w:numId w:val="3"/>
        </w:numPr>
      </w:pPr>
      <w:r>
        <w:rPr>
          <w:rFonts w:ascii="Arial" w:cs="Arial" w:eastAsia="Arial" w:hAnsi="Arial"/>
          <w:color w:val="1F2937"/>
          <w:sz w:val="20"/>
          <w:szCs w:val="20"/>
        </w:rPr>
        <w:t xml:space="preserve">Custom HTML - Listener Formularios CF7: se mantuvo All Pages porque gestiona formularios en múltiples rutas (home, checkout, páginas de producto)</w:t>
      </w:r>
    </w:p>
    <w:p>
      <w:pPr>
        <w:spacing w:before="80" w:after="0"/>
      </w:pPr>
      <w:r>
        <w:t xml:space="preserve"/>
      </w:r>
    </w:p>
    <w:p>
      <w:pPr>
        <w:pBdr>
          <w:bottom w:val="single" w:color="00D4AA" w:sz="6"/>
        </w:pBdr>
        <w:spacing w:before="160" w:after="16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600"/>
        <w:gridCol w:w="1760"/>
      </w:tblGrid>
      <w:tr>
        <w:tc>
          <w:tcPr>
            <w:tcBorders>
              <w:top w:val="nil"/>
              <w:left w:val="nil"/>
              <w:bottom w:val="nil"/>
              <w:right w:val="nil"/>
            </w:tcBorders>
            <w:shd w:fill="1A1A2E" w:val="clear"/>
            <w:tcMar>
              <w:top w:type="dxa" w:w="140"/>
              <w:left w:type="dxa" w:w="200"/>
              <w:bottom w:type="dxa" w:w="140"/>
              <w:right w:type="dxa" w:w="200"/>
            </w:tcMar>
          </w:tcPr>
          <w:p>
            <w:r>
              <w:rPr>
                <w:rFonts w:ascii="Arial" w:cs="Arial" w:eastAsia="Arial" w:hAnsi="Arial"/>
                <w:b/>
                <w:bCs/>
                <w:color w:val="FFFFFF"/>
                <w:sz w:val="24"/>
                <w:szCs w:val="24"/>
              </w:rPr>
              <w:t xml:space="preserve">06. Uso de .some() en el código del Custom HTML</w:t>
            </w:r>
          </w:p>
        </w:tc>
        <w:tc>
          <w:tcPr>
            <w:tcBorders>
              <w:top w:val="nil"/>
              <w:left w:val="nil"/>
              <w:bottom w:val="nil"/>
              <w:right w:val="nil"/>
            </w:tcBorders>
            <w:shd w:fill="EF4444" w:val="clear"/>
            <w:tcMar>
              <w:top w:type="dxa" w:w="140"/>
              <w:left w:type="dxa" w:w="120"/>
              <w:bottom w:type="dxa" w:w="140"/>
              <w:right w:type="dxa" w:w="120"/>
            </w:tcMar>
            <w:vAlign w:val="center"/>
          </w:tcPr>
          <w:p>
            <w:pPr>
              <w:jc w:val="center"/>
            </w:pPr>
            <w:r>
              <w:rPr>
                <w:rFonts w:ascii="Arial" w:cs="Arial" w:eastAsia="Arial" w:hAnsi="Arial"/>
                <w:b/>
                <w:bCs/>
                <w:color w:val="FFFFFF"/>
                <w:sz w:val="18"/>
                <w:szCs w:val="18"/>
              </w:rPr>
              <w:t xml:space="preserve">ERROR</w:t>
            </w:r>
          </w:p>
        </w:tc>
      </w:tr>
    </w:tbl>
    <w:p>
      <w:pPr>
        <w:spacing w:before="80" w:after="0"/>
      </w:pPr>
      <w:r>
        <w:t xml:space="preserve"/>
      </w:r>
    </w:p>
    <w:p>
      <w:pPr>
        <w:pStyle w:val="Heading2"/>
      </w:pPr>
      <w:r>
        <w:rPr>
          <w:rFonts w:ascii="Arial" w:cs="Arial" w:eastAsia="Arial" w:hAnsi="Arial"/>
          <w:b/>
          <w:bCs/>
          <w:color w:val="1A1A2E"/>
          <w:sz w:val="26"/>
          <w:szCs w:val="26"/>
        </w:rPr>
        <w:t xml:space="preserve">Qué pasó</w:t>
      </w:r>
    </w:p>
    <w:p>
      <w:r>
        <w:rPr>
          <w:rFonts w:ascii="Arial" w:cs="Arial" w:eastAsia="Arial" w:hAnsi="Arial"/>
          <w:color w:val="1F2937"/>
          <w:sz w:val="20"/>
          <w:szCs w:val="20"/>
        </w:rPr>
        <w:t xml:space="preserve">El Custom HTML del carrito abandonado usaba Array.prototype.some() para comprobar si la URL actual era una página de éxito. Este método está prohibido en la metodología ESES por las mismas razones que .includes() — inconsistencia en el codebase y potencial de fallo silencioso.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F4444" w:sz="4"/>
              <w:left w:val="single" w:color="EF4444" w:sz="16"/>
              <w:bottom w:val="single" w:color="EF4444" w:sz="4"/>
              <w:right w:val="single" w:color="EF4444" w:sz="4"/>
            </w:tcBorders>
            <w:shd w:fill="FEF2F2" w:val="clear"/>
            <w:tcMar>
              <w:top w:type="dxa" w:w="140"/>
              <w:left w:type="dxa" w:w="220"/>
              <w:bottom w:type="dxa" w:w="140"/>
              <w:right w:type="dxa" w:w="220"/>
            </w:tcMar>
          </w:tcPr>
          <w:p>
            <w:r>
              <w:rPr>
                <w:rFonts w:ascii="Arial" w:cs="Arial" w:eastAsia="Arial" w:hAnsi="Arial"/>
                <w:color w:val="991B1B"/>
                <w:sz w:val="19"/>
                <w:szCs w:val="19"/>
              </w:rPr>
              <w:t xml:space="preserve">🚫  REGLA R02 (confirmada): Prohibido usar .some(), .includes(), .find(), .every() o cualquier método de array de ES6+. Siempre usar bucles for clásicos con indexOf para comparaciones de cadenas y de arrays.</w:t>
            </w:r>
          </w:p>
        </w:tc>
      </w:tr>
    </w:tbl>
    <w:p>
      <w:pPr>
        <w:spacing w:before="80" w:after="0"/>
      </w:pPr>
      <w:r>
        <w:t xml:space="preserve"/>
      </w:r>
    </w:p>
    <w:p>
      <w:pPr>
        <w:pStyle w:val="Heading2"/>
      </w:pPr>
      <w:r>
        <w:rPr>
          <w:rFonts w:ascii="Arial" w:cs="Arial" w:eastAsia="Arial" w:hAnsi="Arial"/>
          <w:b/>
          <w:bCs/>
          <w:color w:val="1A1A2E"/>
          <w:sz w:val="26"/>
          <w:szCs w:val="26"/>
        </w:rPr>
        <w:t xml:space="preserve">Patrón de sustitución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PROHIBIDO</w:t>
            </w:r>
          </w:p>
        </w:tc>
        <w:tc>
          <w:tcPr>
            <w:tcW w:type="dxa" w:w="468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CORRECTO</w:t>
            </w:r>
          </w:p>
        </w:tc>
      </w:tr>
      <w:tr>
        <w:tc>
          <w:tcPr>
            <w:tcW w:type="dxa" w:w="4680"/>
            <w:tcBorders>
              <w:top w:val="single" w:color="D1D5DB" w:sz="1"/>
              <w:left w:val="single" w:color="D1D5DB" w:sz="1"/>
              <w:bottom w:val="single" w:color="D1D5DB" w:sz="1"/>
              <w:right w:val="single" w:color="D1D5DB" w:sz="1"/>
            </w:tcBorders>
            <w:shd w:fill="FEF2F2"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SUCCESS_PATHS.some(function(p) {
  return pathname.indexOf(p) !== -1;
})</w:t>
            </w:r>
          </w:p>
        </w:tc>
        <w:tc>
          <w:tcPr>
            <w:tcW w:type="dxa" w:w="4680"/>
            <w:tcBorders>
              <w:top w:val="single" w:color="D1D5DB" w:sz="1"/>
              <w:left w:val="single" w:color="D1D5DB" w:sz="1"/>
              <w:bottom w:val="single" w:color="D1D5DB" w:sz="1"/>
              <w:right w:val="single" w:color="D1D5DB" w:sz="1"/>
            </w:tcBorders>
            <w:shd w:fill="ECFDF5"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var found = false;
for (var s = 0; s &lt; SUCCESS_PATHS.length; s++) {
  if (pathname.indexOf(SUCCESS_PATHS[s]) !== -1) {
    found = true; break;
  }
}</w:t>
            </w:r>
          </w:p>
        </w:tc>
      </w:tr>
    </w:tbl>
    <w:p>
      <w:pPr>
        <w:spacing w:before="80" w:after="0"/>
      </w:pPr>
      <w:r>
        <w:t xml:space="preserve"/>
      </w:r>
    </w:p>
    <w:p>
      <w:pPr>
        <w:pBdr>
          <w:bottom w:val="single" w:color="00D4AA" w:sz="6"/>
        </w:pBdr>
        <w:spacing w:before="160" w:after="160"/>
      </w:pPr>
      <w:r>
        <w:t xml:space="preserve"/>
      </w:r>
    </w:p>
    <w:p>
      <w:r>
        <w:br w:type="page"/>
      </w:r>
    </w:p>
    <w:p>
      <w:pPr>
        <w:pStyle w:val="Heading1"/>
      </w:pPr>
      <w:r>
        <w:rPr>
          <w:rFonts w:ascii="Arial" w:cs="Arial" w:eastAsia="Arial" w:hAnsi="Arial"/>
          <w:b/>
          <w:bCs/>
          <w:color w:val="00D4AA"/>
          <w:sz w:val="36"/>
          <w:szCs w:val="36"/>
        </w:rPr>
        <w:t xml:space="preserve">Resumen ejecutivo — Nuevas reglas para GTMXpert</w:t>
      </w:r>
    </w:p>
    <w:p>
      <w:pPr>
        <w:spacing w:before="80" w:after="0"/>
      </w:pPr>
      <w:r>
        <w:t xml:space="preserve"/>
      </w:r>
    </w:p>
    <w:p>
      <w:r>
        <w:rPr>
          <w:rFonts w:ascii="Arial" w:cs="Arial" w:eastAsia="Arial" w:hAnsi="Arial"/>
          <w:color w:val="1F2937"/>
          <w:sz w:val="20"/>
          <w:szCs w:val="20"/>
        </w:rPr>
        <w:t xml:space="preserve">Las siguientes reglas y preguntas deben incorporarse al system prompt de GTMXpert y al checklist de inicio de proyecto:</w:t>
      </w:r>
    </w:p>
    <w:p>
      <w:pPr>
        <w:spacing w:before="80" w:after="0"/>
      </w:pPr>
      <w:r>
        <w:t xml:space="preserve"/>
      </w:r>
    </w:p>
    <w:p>
      <w:pPr>
        <w:pStyle w:val="Heading2"/>
      </w:pPr>
      <w:r>
        <w:rPr>
          <w:rFonts w:ascii="Arial" w:cs="Arial" w:eastAsia="Arial" w:hAnsi="Arial"/>
          <w:b/>
          <w:bCs/>
          <w:color w:val="1A1A2E"/>
          <w:sz w:val="26"/>
          <w:szCs w:val="26"/>
        </w:rPr>
        <w:t xml:space="preserve">Preguntas obligatorias de inicio de proyecto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560"/>
        <w:gridCol w:w="3400"/>
      </w:tblGrid>
      <w:tr>
        <w:tc>
          <w:tcPr>
            <w:tcW w:type="dxa" w:w="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
            </w:r>
          </w:p>
        </w:tc>
        <w:tc>
          <w:tcPr>
            <w:tcW w:type="dxa" w:w="55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Pregunta</w:t>
            </w:r>
          </w:p>
        </w:tc>
        <w:tc>
          <w:tcPr>
            <w:tcW w:type="dxa" w:w="3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Por qué es crítica</w:t>
            </w:r>
          </w:p>
        </w:tc>
      </w:tr>
      <w:tr>
        <w:tc>
          <w:tcPr>
            <w:tcW w:type="dxa" w:w="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1</w:t>
            </w:r>
          </w:p>
        </w:tc>
        <w:tc>
          <w:tcPr>
            <w:tcW w:type="dxa" w:w="55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¿Cuántos formularios tiene el site y qué tecnología usa cada uno? (CF7, Gravity Forms, WPForms, Mailchimp, HubSpot, WooCommerce, HTML nativo)</w:t>
            </w:r>
          </w:p>
        </w:tc>
        <w:tc>
          <w:tcPr>
            <w:tcW w:type="dxa" w:w="3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El Custom HTML listener es radicalmente distinto para cada tecnología</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2</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¿Tiene el site un proceso de compra o registro? ¿Cuál es la URL exacta de la página de confirmación?</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El generate_lead más fiable en eCommerce es siempre un pageview en /order-received o equivalente</w:t>
            </w:r>
          </w:p>
        </w:tc>
      </w:tr>
      <w:tr>
        <w:tc>
          <w:tcPr>
            <w:tcW w:type="dxa" w:w="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3</w:t>
            </w:r>
          </w:p>
        </w:tc>
        <w:tc>
          <w:tcPr>
            <w:tcW w:type="dxa" w:w="55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¿Los mensajes de éxito de los formularios son inline (misma página) o hay redirect a una URL de thank-you?</w:t>
            </w:r>
          </w:p>
        </w:tc>
        <w:tc>
          <w:tcPr>
            <w:tcW w:type="dxa" w:w="3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Determina si usar evento JS, MutationObserver o pageview</w:t>
            </w:r>
          </w:p>
        </w:tc>
      </w:tr>
      <w:tr>
        <w:tc>
          <w:tcPr>
            <w:tcW w:type="dxa" w:w="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4</w:t>
            </w:r>
          </w:p>
        </w:tc>
        <w:tc>
          <w:tcPr>
            <w:tcW w:type="dxa" w:w="5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¿Cuál es el primer campo visible de cada formulario? ¿Tiene id o name único?</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El listener de focus necesita un selector fiable</w:t>
            </w:r>
          </w:p>
        </w:tc>
      </w:tr>
      <w:tr>
        <w:tc>
          <w:tcPr>
            <w:tcW w:type="dxa" w:w="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5</w:t>
            </w:r>
          </w:p>
        </w:tc>
        <w:tc>
          <w:tcPr>
            <w:tcW w:type="dxa" w:w="55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Navegar manualmente el flujo completo (home → producto → carrito → checkout → confirmación) y anotar cada URL</w:t>
            </w:r>
          </w:p>
        </w:tc>
        <w:tc>
          <w:tcPr>
            <w:tcW w:type="dxa" w:w="3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Identifica todas las páginas clave para triggers de pageview</w:t>
            </w:r>
          </w:p>
        </w:tc>
      </w:tr>
    </w:tbl>
    <w:p>
      <w:pPr>
        <w:spacing w:before="80" w:after="0"/>
      </w:pPr>
      <w:r>
        <w:t xml:space="preserve"/>
      </w:r>
    </w:p>
    <w:p>
      <w:pPr>
        <w:pStyle w:val="Heading2"/>
      </w:pPr>
      <w:r>
        <w:rPr>
          <w:rFonts w:ascii="Arial" w:cs="Arial" w:eastAsia="Arial" w:hAnsi="Arial"/>
          <w:b/>
          <w:bCs/>
          <w:color w:val="1A1A2E"/>
          <w:sz w:val="26"/>
          <w:szCs w:val="26"/>
        </w:rPr>
        <w:t xml:space="preserve">Reglas técnicas confirmadas o nuevas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160"/>
        <w:gridCol w:w="4400"/>
      </w:tblGrid>
      <w:tr>
        <w:tc>
          <w:tcPr>
            <w:tcW w:type="dxa" w:w="8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Ref.</w:t>
            </w:r>
          </w:p>
        </w:tc>
        <w:tc>
          <w:tcPr>
            <w:tcW w:type="dxa" w:w="416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Regla</w:t>
            </w:r>
          </w:p>
        </w:tc>
        <w:tc>
          <w:tcPr>
            <w:tcW w:type="dxa" w:w="4400"/>
            <w:tcBorders>
              <w:top w:val="single" w:color="D1D5DB" w:sz="1"/>
              <w:left w:val="single" w:color="D1D5DB" w:sz="1"/>
              <w:bottom w:val="single" w:color="D1D5DB" w:sz="1"/>
              <w:right w:val="single" w:color="D1D5DB" w:sz="1"/>
            </w:tcBorders>
            <w:shd w:fill="1A1A2E" w:val="clear"/>
            <w:tcMar>
              <w:top w:type="dxa" w:w="80"/>
              <w:left w:type="dxa" w:w="120"/>
              <w:bottom w:type="dxa" w:w="80"/>
              <w:right w:type="dxa" w:w="120"/>
            </w:tcMar>
            <w:vAlign w:val="center"/>
          </w:tcPr>
          <w:p>
            <w:r>
              <w:rPr>
                <w:rFonts w:ascii="Arial" w:cs="Arial" w:eastAsia="Arial" w:hAnsi="Arial"/>
                <w:b/>
                <w:bCs/>
                <w:color w:val="FFFFFF"/>
                <w:sz w:val="20"/>
                <w:szCs w:val="20"/>
              </w:rPr>
              <w:t xml:space="preserve">Origen</w:t>
            </w:r>
          </w:p>
        </w:tc>
      </w:tr>
      <w:tr>
        <w:tc>
          <w:tcPr>
            <w:tcW w:type="dxa" w:w="8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R-A</w:t>
            </w:r>
          </w:p>
        </w:tc>
        <w:tc>
          <w:tcPr>
            <w:tcW w:type="dxa" w:w="41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El disparador de Custom HTML listener siempre debe ser Page Path, nunca All Pages</w:t>
            </w:r>
          </w:p>
        </w:tc>
        <w:tc>
          <w:tcPr>
            <w:tcW w:type="dxa" w:w="4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Confirmada en eses.agency, reconfirmada en future-a.com</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R-B</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begin_form siempre via Custom HTML + listener focus. Nunca clic en contenedor ni Element Visibility</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Confirmada en eses.agency, reconfirmada en future-a.com</w:t>
            </w:r>
          </w:p>
        </w:tc>
      </w:tr>
      <w:tr>
        <w:tc>
          <w:tcPr>
            <w:tcW w:type="dxa" w:w="8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R-C</w:t>
            </w:r>
          </w:p>
        </w:tc>
        <w:tc>
          <w:tcPr>
            <w:tcW w:type="dxa" w:w="41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En WooCommerce, generate_lead de compra completada siempre via pageview /order-received. No usar eventos JS que compiten con redirect</w:t>
            </w:r>
          </w:p>
        </w:tc>
        <w:tc>
          <w:tcPr>
            <w:tcW w:type="dxa" w:w="4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Nueva — extraída de future-a.com</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R-D</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Un trigger de Evento personalizado que escucha un evento JS de documento no debe tener condiciones de tipo Click</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Nueva — extraída de future-a.com (Submit-Form huérfano)</w:t>
            </w:r>
          </w:p>
        </w:tc>
      </w:tr>
      <w:tr>
        <w:tc>
          <w:tcPr>
            <w:tcW w:type="dxa" w:w="8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bCs/>
                <w:color w:val="1F2937"/>
                <w:sz w:val="20"/>
                <w:szCs w:val="20"/>
              </w:rPr>
              <w:t xml:space="preserve">R-E</w:t>
            </w:r>
          </w:p>
        </w:tc>
        <w:tc>
          <w:tcPr>
            <w:tcW w:type="dxa" w:w="416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Inventariar TODOS los formularios y sus tecnologías antes de escribir cualquier Custom HTML</w:t>
            </w:r>
          </w:p>
        </w:tc>
        <w:tc>
          <w:tcPr>
            <w:tcW w:type="dxa" w:w="4400"/>
            <w:tcBorders>
              <w:top w:val="single" w:color="D1D5DB" w:sz="1"/>
              <w:left w:val="single" w:color="D1D5DB" w:sz="1"/>
              <w:bottom w:val="single" w:color="D1D5DB" w:sz="1"/>
              <w:right w:val="single" w:color="D1D5DB" w:sz="1"/>
            </w:tcBorders>
            <w:shd w:fill="F4F6F9"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Nueva — extraída de future-a.com (Mailchimp no detectado)</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bCs/>
                <w:color w:val="1F2937"/>
                <w:sz w:val="20"/>
                <w:szCs w:val="20"/>
              </w:rPr>
              <w:t xml:space="preserve">R02</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Prohibido .some(), .includes(), .find(), .every(). Siempre bucles for con indexOf</w:t>
            </w:r>
          </w:p>
        </w:tc>
        <w:tc>
          <w:tcPr>
            <w:tcW w:type="dxa" w:w="4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center"/>
          </w:tcPr>
          <w:p>
            <w:r>
              <w:rPr>
                <w:rFonts w:ascii="Arial" w:cs="Arial" w:eastAsia="Arial" w:hAnsi="Arial"/>
                <w:b w:val="false"/>
                <w:bCs w:val="false"/>
                <w:color w:val="1F2937"/>
                <w:sz w:val="20"/>
                <w:szCs w:val="20"/>
              </w:rPr>
              <w:t xml:space="preserve">Regla existente — violación detectada en future-a.com</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pBdr>
      <w:jc w:val="center"/>
    </w:pPr>
    <w:r>
      <w:rPr>
        <w:rFonts w:ascii="Arial" w:cs="Arial" w:eastAsia="Arial" w:hAnsi="Arial"/>
        <w:color w:val="6B7280"/>
        <w:sz w:val="18"/>
        <w:szCs w:val="18"/>
      </w:rPr>
      <w:t xml:space="preserve">GTMXpert · ESES Agency · Metodología de etiquetado  ·  Pág.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500"/>
      <w:gridCol w:w="2860"/>
    </w:tblGrid>
    <w:tr>
      <w:tc>
        <w:tcPr>
          <w:tcBorders>
            <w:top w:val="nil"/>
            <w:left w:val="nil"/>
            <w:bottom w:val="nil"/>
            <w:right w:val="nil"/>
          </w:tcBorders>
          <w:shd w:fill="1A1A2E" w:val="clear"/>
          <w:tcMar>
            <w:top w:type="dxa" w:w="100"/>
            <w:left w:type="dxa" w:w="200"/>
            <w:bottom w:type="dxa" w:w="100"/>
            <w:right w:type="dxa" w:w="200"/>
          </w:tcMar>
        </w:tcPr>
        <w:p>
          <w:r>
            <w:rPr>
              <w:rFonts w:ascii="Arial" w:cs="Arial" w:eastAsia="Arial" w:hAnsi="Arial"/>
              <w:b/>
              <w:bCs/>
              <w:color w:val="FFFFFF"/>
              <w:sz w:val="18"/>
              <w:szCs w:val="18"/>
            </w:rPr>
            <w:t xml:space="preserve">LECCIONES APRENDIDAS GTM · ESES Agency</w:t>
          </w:r>
        </w:p>
      </w:tc>
      <w:tc>
        <w:tcPr>
          <w:tcBorders>
            <w:top w:val="nil"/>
            <w:left w:val="nil"/>
            <w:bottom w:val="nil"/>
            <w:right w:val="nil"/>
          </w:tcBorders>
          <w:shd w:fill="1A1A2E" w:val="clear"/>
          <w:tcMar>
            <w:top w:type="dxa" w:w="100"/>
            <w:left w:type="dxa" w:w="200"/>
            <w:bottom w:type="dxa" w:w="100"/>
            <w:right w:type="dxa" w:w="200"/>
          </w:tcMar>
        </w:tcPr>
        <w:p>
          <w:pPr>
            <w:jc w:val="right"/>
          </w:pPr>
          <w:r>
            <w:rPr>
              <w:rFonts w:ascii="Arial" w:cs="Arial" w:eastAsia="Arial" w:hAnsi="Arial"/>
              <w:color w:val="00D4AA"/>
              <w:sz w:val="18"/>
              <w:szCs w:val="18"/>
            </w:rPr>
            <w:t xml:space="preserve">Extraído de future-a.com · 2026</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00D4AA"/>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1A2E"/>
      <w:sz w:val="26"/>
      <w:szCs w:val="26"/>
    </w:rPr>
  </w:style>
  <w:style w:type="paragraph" w:styleId="Heading3">
    <w:name w:val="Heading 3"/>
    <w:basedOn w:val="Normal"/>
    <w:next w:val="Normal"/>
    <w:qFormat/>
    <w:pPr>
      <w:spacing w:before="240" w:after="12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2026-03-17T16:10:41.328Z</dcterms:created>
  <dcterms:modified xsi:type="dcterms:W3CDTF">2026-03-17T16:10:41.329Z</dcterms:modified>
</cp:coreProperties>
</file>

<file path=docProps/custom.xml><?xml version="1.0" encoding="utf-8"?>
<Properties xmlns="http://schemas.openxmlformats.org/officeDocument/2006/custom-properties" xmlns:vt="http://schemas.openxmlformats.org/officeDocument/2006/docPropsVTypes"/>
</file>