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0F766E"/>
          <w:sz w:val="40"/>
          <w:szCs w:val="40"/>
        </w:rPr>
        <w:t xml:space="preserve">MVP CONTRIBUTION REPORT</w:t>
      </w:r>
    </w:p>
    <w:p>
      <w:pPr>
        <w:spacing w:after="40"/>
        <w:jc w:val="center"/>
      </w:pPr>
      <w:r>
        <w:rPr>
          <w:b/>
          <w:bCs/>
          <w:color w:val="1F2937"/>
          <w:sz w:val="30"/>
          <w:szCs w:val="30"/>
        </w:rPr>
        <w:t xml:space="preserve">E. Varun</w:t>
      </w:r>
    </w:p>
    <w:p>
      <w:pPr>
        <w:spacing w:after="60"/>
        <w:jc w:val="center"/>
      </w:pPr>
      <w:r>
        <w:rPr>
          <w:b/>
          <w:bCs/>
          <w:color w:val="D97706"/>
          <w:sz w:val="22"/>
          <w:szCs w:val="22"/>
        </w:rPr>
        <w:t xml:space="preserve">Business Owner</w:t>
      </w:r>
    </w:p>
    <w:p>
      <w:pPr>
        <w:spacing w:after="300"/>
        <w:jc w:val="center"/>
      </w:pPr>
      <w:r>
        <w:rPr>
          <w:color w:val="6B7280"/>
          <w:sz w:val="20"/>
          <w:szCs w:val="20"/>
        </w:rPr>
        <w:t xml:space="preserve">CKD Risk Prediction System — ACE GEN AI Bootcamp, Team 10</w:t>
      </w:r>
    </w:p>
    <w:p>
      <w:pPr>
        <w:pStyle w:val="Heading1"/>
        <w:spacing w:after="160" w:before="360"/>
      </w:pPr>
      <w:r>
        <w:rPr>
          <w:b/>
          <w:bCs/>
          <w:color w:val="0F766E"/>
          <w:sz w:val="32"/>
          <w:szCs w:val="32"/>
        </w:rPr>
        <w:t xml:space="preserve">Role on This Project</w:t>
      </w:r>
    </w:p>
    <w:p>
      <w:pPr>
        <w:spacing w:after="120"/>
      </w:pPr>
      <w:r>
        <w:rPr>
          <w:color w:val="1F2937"/>
          <w:sz w:val="21"/>
          <w:szCs w:val="21"/>
        </w:rPr>
        <w:t xml:space="preserve">Varun represents the business and stakeholder perspective, validating that each delivered increment provides real clinical/business value.</w:t>
      </w:r>
    </w:p>
    <w:p>
      <w:pPr>
        <w:spacing w:after="120"/>
      </w:pPr>
      <w:r>
        <w:rPr>
          <w:color w:val="1F2937"/>
          <w:sz w:val="21"/>
          <w:szCs w:val="21"/>
        </w:rPr>
        <w:t xml:space="preserve">Roadmap: 2 sprints over 15 days — Sprint 1 (Days 1–7), Sprint 2 (Days 8–15).</w:t>
      </w:r>
    </w:p>
    <w:p>
      <w:pPr>
        <w:pStyle w:val="Heading1"/>
        <w:spacing w:after="160" w:before="360"/>
      </w:pPr>
      <w:r>
        <w:rPr>
          <w:b/>
          <w:bCs/>
          <w:color w:val="0F766E"/>
          <w:sz w:val="32"/>
          <w:szCs w:val="32"/>
        </w:rPr>
        <w:t xml:space="preserve">Sprint 1 — Foundation &amp; Data MVP</w:t>
      </w:r>
    </w:p>
    <w:p>
      <w:pPr>
        <w:spacing w:after="100" w:before="200"/>
      </w:pPr>
      <w:r>
        <w:rPr>
          <w:b/>
          <w:bCs/>
          <w:color w:val="0F766E"/>
          <w:sz w:val="22"/>
          <w:szCs w:val="22"/>
        </w:rPr>
        <w:t xml:space="preserve">Sprint 1 Focus</w:t>
      </w:r>
    </w:p>
    <w:p>
      <w:pPr>
        <w:spacing w:after="120"/>
      </w:pPr>
      <w:r>
        <w:rPr>
          <w:i/>
          <w:iCs/>
          <w:color w:val="6B7280"/>
          <w:sz w:val="21"/>
          <w:szCs w:val="21"/>
        </w:rPr>
        <w:t xml:space="preserve">Confirm the data foundation reflects real clinical relevance and business value.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300"/>
      </w:tblGrid>
      <w:tr>
        <w:trPr>
          <w:tblHeader/>
        </w:trPr>
        <w:tc>
          <w:tcPr>
            <w:tcW w:type="dxa" w:w="2400"/>
            <w:shd w:fill="0F766E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6300"/>
            <w:shd w:fill="0F766E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Clinical Relevance Review</w:t>
            </w:r>
          </w:p>
        </w:tc>
        <w:tc>
          <w:tcPr>
            <w:tcW w:type="dxa" w:w="63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Confirmed the 35 selected clinical features and 5 CKD risk classes align with real-world diagnostic relevance.</w:t>
            </w:r>
          </w:p>
        </w:tc>
      </w:tr>
      <w:tr>
        <w:tc>
          <w:tcPr>
            <w:tcW w:type="dxa" w:w="2400"/>
            <w:shd w:fill="F0FD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Viability Assessment</w:t>
            </w:r>
          </w:p>
        </w:tc>
        <w:tc>
          <w:tcPr>
            <w:tcW w:type="dxa" w:w="6300"/>
            <w:shd w:fill="F0FD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Assessed whether the baseline model's early performance was viable to build on.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Stakeholder Standards</w:t>
            </w:r>
          </w:p>
        </w:tc>
        <w:tc>
          <w:tcPr>
            <w:tcW w:type="dxa" w:w="63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Provided the stakeholder view on required data quality standards.</w:t>
            </w:r>
          </w:p>
        </w:tc>
      </w:tr>
    </w:tbl>
    <w:p>
      <w:pPr>
        <w:spacing w:before="140"/>
      </w:pPr>
    </w:p>
    <w:p>
      <w:pPr>
        <w:spacing w:after="120"/>
      </w:pPr>
      <w:r>
        <w:rPr>
          <w:b/>
          <w:bCs/>
          <w:color w:val="1F2937"/>
          <w:sz w:val="21"/>
          <w:szCs w:val="21"/>
        </w:rPr>
        <w:t xml:space="preserve">Contributed to: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1"/>
          <w:szCs w:val="21"/>
        </w:rPr>
        <w:t xml:space="preserve">Business validation of dataset scope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1"/>
          <w:szCs w:val="21"/>
        </w:rPr>
        <w:t xml:space="preserve">Go-ahead to proceed into model development</w:t>
      </w:r>
    </w:p>
    <w:p>
      <w:pPr>
        <w:spacing w:before="100"/>
      </w:pPr>
    </w:p>
    <w:p>
      <w:pPr>
        <w:pStyle w:val="Heading1"/>
        <w:spacing w:after="160" w:before="360"/>
      </w:pPr>
      <w:r>
        <w:rPr>
          <w:b/>
          <w:bCs/>
          <w:color w:val="0F766E"/>
          <w:sz w:val="32"/>
          <w:szCs w:val="32"/>
        </w:rPr>
        <w:t xml:space="preserve">Sprint 2 — Model, Explainability &amp; Release MVP  (Current)</w:t>
      </w:r>
    </w:p>
    <w:p>
      <w:pPr>
        <w:spacing w:after="100" w:before="200"/>
      </w:pPr>
      <w:r>
        <w:rPr>
          <w:b/>
          <w:bCs/>
          <w:color w:val="0F766E"/>
          <w:sz w:val="22"/>
          <w:szCs w:val="22"/>
        </w:rPr>
        <w:t xml:space="preserve">Sprint 2 Focus</w:t>
      </w:r>
    </w:p>
    <w:p>
      <w:pPr>
        <w:spacing w:after="120"/>
      </w:pPr>
      <w:r>
        <w:rPr>
          <w:i/>
          <w:iCs/>
          <w:color w:val="6B7280"/>
          <w:sz w:val="21"/>
          <w:szCs w:val="21"/>
        </w:rPr>
        <w:t xml:space="preserve">Validate that the finished product delivers trustworthy, demonstrable business value.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300"/>
      </w:tblGrid>
      <w:tr>
        <w:trPr>
          <w:tblHeader/>
        </w:trPr>
        <w:tc>
          <w:tcPr>
            <w:tcW w:type="dxa" w:w="2400"/>
            <w:shd w:fill="0F766E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6300"/>
            <w:shd w:fill="0F766E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Explainability Review</w:t>
            </w:r>
          </w:p>
        </w:tc>
        <w:tc>
          <w:tcPr>
            <w:tcW w:type="dxa" w:w="63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Evaluated the business value of SHAP explainability for building clinical trust in predictions.</w:t>
            </w:r>
          </w:p>
        </w:tc>
      </w:tr>
      <w:tr>
        <w:tc>
          <w:tcPr>
            <w:tcW w:type="dxa" w:w="2400"/>
            <w:shd w:fill="F0FD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Demo Review</w:t>
            </w:r>
          </w:p>
        </w:tc>
        <w:tc>
          <w:tcPr>
            <w:tcW w:type="dxa" w:w="6300"/>
            <w:shd w:fill="F0FD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Reviewed the live Streamlit app from an end-user and business-impact perspective.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Final Sign-off</w:t>
            </w:r>
          </w:p>
        </w:tc>
        <w:tc>
          <w:tcPr>
            <w:tcW w:type="dxa" w:w="63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Gave final approval for demo readiness and stakeholder presentation.</w:t>
            </w:r>
          </w:p>
        </w:tc>
      </w:tr>
    </w:tbl>
    <w:p>
      <w:pPr>
        <w:spacing w:before="140"/>
      </w:pPr>
    </w:p>
    <w:p>
      <w:pPr>
        <w:spacing w:after="120"/>
      </w:pPr>
      <w:r>
        <w:rPr>
          <w:b/>
          <w:bCs/>
          <w:color w:val="1F2937"/>
          <w:sz w:val="21"/>
          <w:szCs w:val="21"/>
        </w:rPr>
        <w:t xml:space="preserve">Contributed to: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1"/>
          <w:szCs w:val="21"/>
        </w:rPr>
        <w:t xml:space="preserve">Business validation of explainability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1"/>
          <w:szCs w:val="21"/>
        </w:rPr>
        <w:t xml:space="preserve">Final demo readiness sign-off</w:t>
      </w:r>
    </w:p>
    <w:p>
      <w:pPr>
        <w:spacing w:before="100"/>
      </w:pPr>
    </w:p>
    <w:p>
      <w:pPr>
        <w:pStyle w:val="Heading1"/>
        <w:spacing w:after="160" w:before="360"/>
      </w:pPr>
      <w:r>
        <w:rPr>
          <w:b/>
          <w:bCs/>
          <w:color w:val="0F766E"/>
          <w:sz w:val="32"/>
          <w:szCs w:val="32"/>
        </w:rPr>
        <w:t xml:space="preserve">Contribution Summary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300"/>
        <w:gridCol w:w="1800"/>
      </w:tblGrid>
      <w:tr>
        <w:trPr>
          <w:tblHeader/>
        </w:trPr>
        <w:tc>
          <w:tcPr>
            <w:tcW w:type="dxa" w:w="1600"/>
            <w:shd w:fill="0F766E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5300"/>
            <w:shd w:fill="0F766E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Contribution</w:t>
            </w:r>
          </w:p>
        </w:tc>
        <w:tc>
          <w:tcPr>
            <w:tcW w:type="dxa" w:w="1800"/>
            <w:shd w:fill="0F766E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Sprint 1</w:t>
            </w:r>
          </w:p>
        </w:tc>
        <w:tc>
          <w:tcPr>
            <w:tcW w:type="dxa" w:w="53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Validated clinical relevance of data foundation</w:t>
            </w:r>
          </w:p>
        </w:tc>
        <w:tc>
          <w:tcPr>
            <w:tcW w:type="dxa" w:w="1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6A34A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600"/>
            <w:shd w:fill="F0FD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Sprint 2</w:t>
            </w:r>
          </w:p>
        </w:tc>
        <w:tc>
          <w:tcPr>
            <w:tcW w:type="dxa" w:w="5300"/>
            <w:shd w:fill="F0FD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Validated business value &amp; demo readiness</w:t>
            </w:r>
          </w:p>
        </w:tc>
        <w:tc>
          <w:tcPr>
            <w:tcW w:type="dxa" w:w="1800"/>
            <w:shd w:fill="F0FD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D97706"/>
                <w:sz w:val="20"/>
                <w:szCs w:val="20"/>
              </w:rPr>
              <w:t xml:space="preserve">In Progress</w:t>
            </w:r>
          </w:p>
        </w:tc>
      </w:tr>
    </w:tbl>
    <w:p>
      <w:pPr>
        <w:spacing w:before="300"/>
      </w:pPr>
      <w:r>
        <w:rPr>
          <w:i/>
          <w:iCs/>
          <w:color w:val="6B7280"/>
          <w:sz w:val="20"/>
          <w:szCs w:val="20"/>
        </w:rPr>
        <w:t xml:space="preserve">Prepared as part of Team 10's Sprint documentation — reflects Varun's Business Owner responsibilities.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2026-07-15T04:38:46.175Z</dcterms:created>
  <dcterms:modified xsi:type="dcterms:W3CDTF">2026-07-15T04:38:46.175Z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