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F172A"/>
          <w:sz w:val="56"/>
        </w:rPr>
        <w:t>MINIMUM VIABLE PRODUCT (MVP) PLAN</w:t>
      </w:r>
    </w:p>
    <w:p/>
    <w:p>
      <w:pPr>
        <w:jc w:val="center"/>
      </w:pPr>
      <w:r>
        <w:rPr>
          <w:rFonts w:ascii="Calibri" w:hAnsi="Calibri"/>
          <w:i/>
          <w:color w:val="475569"/>
          <w:sz w:val="28"/>
        </w:rPr>
        <w:t>Subscription Cancellation Prediction System (OTT/SaaS)</w:t>
      </w:r>
    </w:p>
    <w:p>
      <w:pPr>
        <w:jc w:val="center"/>
      </w:pPr>
      <w:r>
        <w:rPr>
          <w:rFonts w:ascii="Calibri" w:hAnsi="Calibri"/>
          <w:i/>
          <w:color w:val="475569"/>
          <w:sz w:val="28"/>
        </w:rPr>
        <w:t>Agile Product Management &amp; Delivery Framework</w:t>
      </w:r>
    </w:p>
    <w:p/>
    <w:p/>
    <w:p/>
    <w:p/>
    <w:p>
      <w:pPr>
        <w:jc w:val="center"/>
      </w:pPr>
      <w:r>
        <w:rPr>
          <w:rFonts w:ascii="Calibri" w:hAnsi="Calibri"/>
          <w:b/>
          <w:color w:val="0F172A"/>
          <w:sz w:val="22"/>
        </w:rPr>
        <w:t>Document Version: 1.0 — Initial Planning Baseline</w:t>
        <w:br/>
      </w:r>
      <w:r>
        <w:rPr>
          <w:rFonts w:ascii="Calibri" w:hAnsi="Calibri"/>
          <w:b/>
          <w:color w:val="0F172A"/>
          <w:sz w:val="22"/>
        </w:rPr>
        <w:t>Author: Senior Product Owner</w:t>
        <w:br/>
      </w:r>
      <w:r>
        <w:rPr>
          <w:rFonts w:ascii="Calibri" w:hAnsi="Calibri"/>
          <w:b/>
          <w:color w:val="0F172A"/>
          <w:sz w:val="22"/>
        </w:rPr>
        <w:t>Target Audience: Executives, Scrum Team, Technical Stakeholders</w:t>
        <w:br/>
      </w:r>
      <w:r>
        <w:rPr>
          <w:rFonts w:ascii="Calibri" w:hAnsi="Calibri"/>
          <w:b/>
          <w:color w:val="0F172A"/>
          <w:sz w:val="22"/>
        </w:rPr>
        <w:t>Date: July 15, 2026</w:t>
        <w:br/>
      </w:r>
    </w:p>
    <w:p>
      <w:r>
        <w:br w:type="page"/>
      </w:r>
    </w:p>
    <w:p/>
    <w:p>
      <w:pPr>
        <w:spacing w:after="80"/>
      </w:pPr>
      <w:r>
        <w:rPr>
          <w:rFonts w:ascii="Calibri Light" w:hAnsi="Calibri Light"/>
          <w:b/>
          <w:color w:val="0F172A"/>
          <w:sz w:val="36"/>
        </w:rPr>
        <w:t>1. Document Control &amp; Revision History</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440"/>
            <w:shd w:val="clear" w:color="auto" w:fill="0F172A"/>
            <w:vAlign w:val="center"/>
          </w:tcPr>
          <w:p>
            <w:pPr>
              <w:jc w:val="center"/>
            </w:pPr>
            <w:r>
              <w:rPr>
                <w:b/>
                <w:color w:val="FFFFFF"/>
                <w:sz w:val="20"/>
              </w:rPr>
              <w:t>Version</w:t>
            </w:r>
          </w:p>
        </w:tc>
        <w:tc>
          <w:tcPr>
            <w:tcW w:type="dxa" w:w="1728"/>
            <w:shd w:val="clear" w:color="auto" w:fill="0F172A"/>
            <w:vAlign w:val="center"/>
          </w:tcPr>
          <w:p>
            <w:pPr>
              <w:jc w:val="center"/>
            </w:pPr>
            <w:r>
              <w:rPr>
                <w:b/>
                <w:color w:val="FFFFFF"/>
                <w:sz w:val="20"/>
              </w:rPr>
              <w:t>Date</w:t>
            </w:r>
          </w:p>
        </w:tc>
        <w:tc>
          <w:tcPr>
            <w:tcW w:type="dxa" w:w="1872"/>
            <w:shd w:val="clear" w:color="auto" w:fill="0F172A"/>
            <w:vAlign w:val="center"/>
          </w:tcPr>
          <w:p>
            <w:pPr>
              <w:jc w:val="center"/>
            </w:pPr>
            <w:r>
              <w:rPr>
                <w:b/>
                <w:color w:val="FFFFFF"/>
                <w:sz w:val="20"/>
              </w:rPr>
              <w:t>Author</w:t>
            </w:r>
          </w:p>
        </w:tc>
        <w:tc>
          <w:tcPr>
            <w:tcW w:type="dxa" w:w="2160"/>
            <w:shd w:val="clear" w:color="auto" w:fill="0F172A"/>
            <w:vAlign w:val="center"/>
          </w:tcPr>
          <w:p>
            <w:pPr>
              <w:jc w:val="center"/>
            </w:pPr>
            <w:r>
              <w:rPr>
                <w:b/>
                <w:color w:val="FFFFFF"/>
                <w:sz w:val="20"/>
              </w:rPr>
              <w:t>Reviewers</w:t>
            </w:r>
          </w:p>
        </w:tc>
        <w:tc>
          <w:tcPr>
            <w:tcW w:type="dxa" w:w="3600"/>
            <w:shd w:val="clear" w:color="auto" w:fill="0F172A"/>
            <w:vAlign w:val="center"/>
          </w:tcPr>
          <w:p>
            <w:pPr>
              <w:jc w:val="center"/>
            </w:pPr>
            <w:r>
              <w:rPr>
                <w:b/>
                <w:color w:val="FFFFFF"/>
                <w:sz w:val="20"/>
              </w:rPr>
              <w:t>Status / Key Changes</w:t>
            </w:r>
          </w:p>
        </w:tc>
      </w:tr>
      <w:tr>
        <w:tc>
          <w:tcPr>
            <w:tcW w:type="dxa" w:w="1440"/>
            <w:shd w:val="clear" w:color="auto" w:fill="F8FAFC"/>
          </w:tcPr>
          <w:p>
            <w:r>
              <w:rPr>
                <w:sz w:val="20"/>
              </w:rPr>
              <w:t>0.1</w:t>
            </w:r>
          </w:p>
        </w:tc>
        <w:tc>
          <w:tcPr>
            <w:tcW w:type="dxa" w:w="1728"/>
            <w:shd w:val="clear" w:color="auto" w:fill="F8FAFC"/>
          </w:tcPr>
          <w:p>
            <w:r>
              <w:rPr>
                <w:sz w:val="20"/>
              </w:rPr>
              <w:t>10 Jun 2026</w:t>
            </w:r>
          </w:p>
        </w:tc>
        <w:tc>
          <w:tcPr>
            <w:tcW w:type="dxa" w:w="1872"/>
            <w:shd w:val="clear" w:color="auto" w:fill="F8FAFC"/>
          </w:tcPr>
          <w:p>
            <w:r>
              <w:rPr>
                <w:sz w:val="20"/>
              </w:rPr>
              <w:t>Product Owner</w:t>
            </w:r>
          </w:p>
        </w:tc>
        <w:tc>
          <w:tcPr>
            <w:tcW w:type="dxa" w:w="2160"/>
            <w:shd w:val="clear" w:color="auto" w:fill="F8FAFC"/>
          </w:tcPr>
          <w:p>
            <w:r>
              <w:rPr>
                <w:sz w:val="20"/>
              </w:rPr>
              <w:t>Dev Team</w:t>
            </w:r>
          </w:p>
        </w:tc>
        <w:tc>
          <w:tcPr>
            <w:tcW w:type="dxa" w:w="3600"/>
            <w:shd w:val="clear" w:color="auto" w:fill="F8FAFC"/>
          </w:tcPr>
          <w:p>
            <w:r>
              <w:rPr>
                <w:sz w:val="20"/>
              </w:rPr>
              <w:t>Initial draft; defined MVP boundaries</w:t>
            </w:r>
          </w:p>
        </w:tc>
      </w:tr>
      <w:tr>
        <w:tc>
          <w:tcPr>
            <w:tcW w:type="dxa" w:w="1440"/>
            <w:shd w:val="clear" w:color="auto" w:fill="FFFFFF"/>
          </w:tcPr>
          <w:p>
            <w:r>
              <w:rPr>
                <w:sz w:val="20"/>
              </w:rPr>
              <w:t>0.5</w:t>
            </w:r>
          </w:p>
        </w:tc>
        <w:tc>
          <w:tcPr>
            <w:tcW w:type="dxa" w:w="1728"/>
            <w:shd w:val="clear" w:color="auto" w:fill="FFFFFF"/>
          </w:tcPr>
          <w:p>
            <w:r>
              <w:rPr>
                <w:sz w:val="20"/>
              </w:rPr>
              <w:t>25 Jun 2026</w:t>
            </w:r>
          </w:p>
        </w:tc>
        <w:tc>
          <w:tcPr>
            <w:tcW w:type="dxa" w:w="1872"/>
            <w:shd w:val="clear" w:color="auto" w:fill="FFFFFF"/>
          </w:tcPr>
          <w:p>
            <w:r>
              <w:rPr>
                <w:sz w:val="20"/>
              </w:rPr>
              <w:t>Product Owner</w:t>
            </w:r>
          </w:p>
        </w:tc>
        <w:tc>
          <w:tcPr>
            <w:tcW w:type="dxa" w:w="2160"/>
            <w:shd w:val="clear" w:color="auto" w:fill="FFFFFF"/>
          </w:tcPr>
          <w:p>
            <w:r>
              <w:rPr>
                <w:sz w:val="20"/>
              </w:rPr>
              <w:t>Scrum Master, TL</w:t>
            </w:r>
          </w:p>
        </w:tc>
        <w:tc>
          <w:tcPr>
            <w:tcW w:type="dxa" w:w="3600"/>
            <w:shd w:val="clear" w:color="auto" w:fill="FFFFFF"/>
          </w:tcPr>
          <w:p>
            <w:r>
              <w:rPr>
                <w:sz w:val="20"/>
              </w:rPr>
              <w:t>Added detailed sprint backlog allocations</w:t>
            </w:r>
          </w:p>
        </w:tc>
      </w:tr>
      <w:tr>
        <w:tc>
          <w:tcPr>
            <w:tcW w:type="dxa" w:w="1440"/>
            <w:shd w:val="clear" w:color="auto" w:fill="F8FAFC"/>
          </w:tcPr>
          <w:p>
            <w:r>
              <w:rPr>
                <w:sz w:val="20"/>
              </w:rPr>
              <w:t>1.0</w:t>
            </w:r>
          </w:p>
        </w:tc>
        <w:tc>
          <w:tcPr>
            <w:tcW w:type="dxa" w:w="1728"/>
            <w:shd w:val="clear" w:color="auto" w:fill="F8FAFC"/>
          </w:tcPr>
          <w:p>
            <w:r>
              <w:rPr>
                <w:sz w:val="20"/>
              </w:rPr>
              <w:t>15 Jul 2026</w:t>
            </w:r>
          </w:p>
        </w:tc>
        <w:tc>
          <w:tcPr>
            <w:tcW w:type="dxa" w:w="1872"/>
            <w:shd w:val="clear" w:color="auto" w:fill="F8FAFC"/>
          </w:tcPr>
          <w:p>
            <w:r>
              <w:rPr>
                <w:sz w:val="20"/>
              </w:rPr>
              <w:t>Product Owner</w:t>
            </w:r>
          </w:p>
        </w:tc>
        <w:tc>
          <w:tcPr>
            <w:tcW w:type="dxa" w:w="2160"/>
            <w:shd w:val="clear" w:color="auto" w:fill="F8FAFC"/>
          </w:tcPr>
          <w:p>
            <w:r>
              <w:rPr>
                <w:sz w:val="20"/>
              </w:rPr>
              <w:t>Business Owner, Tech Lead</w:t>
            </w:r>
          </w:p>
        </w:tc>
        <w:tc>
          <w:tcPr>
            <w:tcW w:type="dxa" w:w="3600"/>
            <w:shd w:val="clear" w:color="auto" w:fill="F8FAFC"/>
          </w:tcPr>
          <w:p>
            <w:r>
              <w:rPr>
                <w:sz w:val="20"/>
              </w:rPr>
              <w:t>Baseline release for MVP execution audit</w:t>
            </w:r>
          </w:p>
        </w:tc>
      </w:tr>
    </w:tbl>
    <w:p/>
    <w:p>
      <w:r>
        <w:br w:type="page"/>
      </w:r>
    </w:p>
    <w:p/>
    <w:p>
      <w:pPr>
        <w:spacing w:after="80"/>
      </w:pPr>
      <w:r>
        <w:rPr>
          <w:rFonts w:ascii="Calibri Light" w:hAnsi="Calibri Light"/>
          <w:b/>
          <w:color w:val="0F172A"/>
          <w:sz w:val="36"/>
        </w:rPr>
        <w:t>2. Executive Summary</w:t>
      </w:r>
    </w:p>
    <w:p>
      <w:pPr>
        <w:spacing w:after="120" w:line="276" w:lineRule="auto"/>
      </w:pPr>
      <w:r>
        <w:rPr>
          <w:rFonts w:ascii="Calibri" w:hAnsi="Calibri"/>
          <w:color w:val="475569"/>
          <w:sz w:val="22"/>
        </w:rPr>
        <w:t>This Minimum Viable Product (MVP) Plan outlines the product strategy, roadmap, and delivery steps for the Subscription Cancellation Prediction System. Customer churn in subscription-based models (OTT and SaaS) poses a severe risk to Monthly Recurring Revenue (MRR) and increases Customer Acquisition Costs (CAC). The goal of this product is to transition customer success operations from a reactive post-cancellation process to a proactive retention workflow powered by machine learning.</w:t>
      </w:r>
    </w:p>
    <w:p>
      <w:pPr>
        <w:spacing w:after="120" w:line="276" w:lineRule="auto"/>
      </w:pPr>
      <w:r>
        <w:rPr>
          <w:rFonts w:ascii="Calibri" w:hAnsi="Calibri"/>
          <w:color w:val="475569"/>
          <w:sz w:val="22"/>
        </w:rPr>
        <w:t>To achieve rapid time-to-market and validate the predictive value of our data, the MVP establishes a lightweight three-tier architecture: a React SPA on the frontend, a FastAPI REST API on the backend, and a structured relational schema (SQLite locally, transitioning to PostgreSQL in production). Crucially, the MVP leverages a scientifically validated Logistic Regression model that achieves a ROC-AUC of 0.9463 and a Recall of 88.71%. This model was selected as the champion after a rigorous comparison of five algorithms, where more complex methods (such as CatBoost, XGBoost, and Random Forest) were rejected due to severe overfitting (achieving suspect perfect 1.0 metrics). This plan documents the delivery of the complete system across five disciplined Agile sprints.</w:t>
      </w:r>
    </w:p>
    <w:p>
      <w:r>
        <w:br w:type="page"/>
      </w:r>
    </w:p>
    <w:p/>
    <w:p>
      <w:pPr>
        <w:spacing w:after="80"/>
      </w:pPr>
      <w:r>
        <w:rPr>
          <w:rFonts w:ascii="Calibri Light" w:hAnsi="Calibri Light"/>
          <w:b/>
          <w:color w:val="0F172A"/>
          <w:sz w:val="36"/>
        </w:rPr>
        <w:t>3. Product Vision &amp; Business Objectives</w:t>
      </w:r>
    </w:p>
    <w:p>
      <w:pPr>
        <w:spacing w:before="200" w:after="40"/>
      </w:pPr>
      <w:r>
        <w:rPr>
          <w:rFonts w:ascii="Calibri" w:hAnsi="Calibri"/>
          <w:b/>
          <w:color w:val="1D4ED8"/>
          <w:sz w:val="26"/>
        </w:rPr>
        <w:t>3.1 Product Vision</w:t>
      </w:r>
    </w:p>
    <w:p>
      <w:pPr>
        <w:spacing w:after="120" w:line="276" w:lineRule="auto"/>
      </w:pPr>
      <w:r>
        <w:rPr>
          <w:rFonts w:ascii="Calibri" w:hAnsi="Calibri"/>
          <w:color w:val="475569"/>
          <w:sz w:val="22"/>
        </w:rPr>
        <w:t>To empower customer retention teams with predictive intelligence, allowing them to detect at-risk subscribers, understand their individual drivers through explainable AI, and execute targeted retention interventions before the cancellation event occurs.</w:t>
      </w:r>
    </w:p>
    <w:p>
      <w:pPr>
        <w:spacing w:before="200" w:after="40"/>
      </w:pPr>
      <w:r>
        <w:rPr>
          <w:rFonts w:ascii="Calibri" w:hAnsi="Calibri"/>
          <w:b/>
          <w:color w:val="1D4ED8"/>
          <w:sz w:val="26"/>
        </w:rPr>
        <w:t>3.2 Core Business Objectives</w:t>
      </w:r>
    </w:p>
    <w:p>
      <w:pPr>
        <w:pStyle w:val="ListBullet"/>
        <w:spacing w:after="60"/>
        <w:ind w:left="360"/>
      </w:pPr>
      <w:r>
        <w:rPr>
          <w:rFonts w:ascii="Calibri" w:hAnsi="Calibri"/>
          <w:sz w:val="22"/>
        </w:rPr>
        <w:t>Proactive Risk Identification: Automatically score customer accounts based on platform activity.</w:t>
      </w:r>
    </w:p>
    <w:p>
      <w:pPr>
        <w:pStyle w:val="ListBullet"/>
        <w:spacing w:after="60"/>
        <w:ind w:left="360"/>
      </w:pPr>
      <w:r>
        <w:rPr>
          <w:rFonts w:ascii="Calibri" w:hAnsi="Calibri"/>
          <w:sz w:val="22"/>
        </w:rPr>
        <w:t>Prescriptive Actions: Generate logical retention offers (e.g., discounts, feature upgrades) based on risk tier.</w:t>
      </w:r>
    </w:p>
    <w:p>
      <w:pPr>
        <w:pStyle w:val="ListBullet"/>
        <w:spacing w:after="60"/>
        <w:ind w:left="360"/>
      </w:pPr>
      <w:r>
        <w:rPr>
          <w:rFonts w:ascii="Calibri" w:hAnsi="Calibri"/>
          <w:sz w:val="22"/>
        </w:rPr>
        <w:t>Revenue Protection: Display Monthly Revenue at Risk as the primary KPI to drive business urgency.</w:t>
      </w:r>
    </w:p>
    <w:p>
      <w:pPr>
        <w:pStyle w:val="ListBullet"/>
        <w:spacing w:after="60"/>
        <w:ind w:left="360"/>
      </w:pPr>
      <w:r>
        <w:rPr>
          <w:rFonts w:ascii="Calibri" w:hAnsi="Calibri"/>
          <w:sz w:val="22"/>
        </w:rPr>
        <w:t>Data Portability: Allow batch analysis of external cohorts (like new trial signups) via isolated bulk upload.</w:t>
      </w:r>
    </w:p>
    <w:p>
      <w:pPr>
        <w:pStyle w:val="ListBullet"/>
        <w:spacing w:after="60"/>
        <w:ind w:left="360"/>
      </w:pPr>
      <w:r>
        <w:rPr>
          <w:rFonts w:ascii="Calibri" w:hAnsi="Calibri"/>
          <w:sz w:val="22"/>
        </w:rPr>
        <w:t>Responsive Console: Ensure the analytics dashboard loads in under 300ms to maintain user engagement.</w:t>
      </w:r>
    </w:p>
    <w:p>
      <w:pPr>
        <w:spacing w:before="200" w:after="40"/>
      </w:pPr>
      <w:r>
        <w:rPr>
          <w:rFonts w:ascii="Calibri" w:hAnsi="Calibri"/>
          <w:b/>
          <w:color w:val="1D4ED8"/>
          <w:sz w:val="26"/>
        </w:rPr>
        <w:t>3.3 Success Metrics (KPIs)</w:t>
      </w:r>
    </w:p>
    <w:tbl>
      <w:tblPr>
        <w:tblStyle w:val="TableGrid"/>
        <w:tblW w:type="auto" w:w="0"/>
        <w:jc w:val="center"/>
        <w:tblLook w:firstColumn="1" w:firstRow="1" w:lastColumn="0" w:lastRow="0" w:noHBand="0" w:noVBand="1" w:val="04A0"/>
      </w:tblPr>
      <w:tblGrid>
        <w:gridCol w:w="2976"/>
        <w:gridCol w:w="2976"/>
        <w:gridCol w:w="2976"/>
      </w:tblGrid>
      <w:tr>
        <w:tc>
          <w:tcPr>
            <w:tcW w:type="dxa" w:w="2880"/>
            <w:shd w:val="clear" w:color="auto" w:fill="0F172A"/>
            <w:vAlign w:val="center"/>
          </w:tcPr>
          <w:p>
            <w:pPr>
              <w:jc w:val="center"/>
            </w:pPr>
            <w:r>
              <w:rPr>
                <w:b/>
                <w:color w:val="FFFFFF"/>
                <w:sz w:val="20"/>
              </w:rPr>
              <w:t>Metric Category</w:t>
            </w:r>
          </w:p>
        </w:tc>
        <w:tc>
          <w:tcPr>
            <w:tcW w:type="dxa" w:w="3168"/>
            <w:shd w:val="clear" w:color="auto" w:fill="0F172A"/>
            <w:vAlign w:val="center"/>
          </w:tcPr>
          <w:p>
            <w:pPr>
              <w:jc w:val="center"/>
            </w:pPr>
            <w:r>
              <w:rPr>
                <w:b/>
                <w:color w:val="FFFFFF"/>
                <w:sz w:val="20"/>
              </w:rPr>
              <w:t>Target Metric</w:t>
            </w:r>
          </w:p>
        </w:tc>
        <w:tc>
          <w:tcPr>
            <w:tcW w:type="dxa" w:w="3312"/>
            <w:shd w:val="clear" w:color="auto" w:fill="0F172A"/>
            <w:vAlign w:val="center"/>
          </w:tcPr>
          <w:p>
            <w:pPr>
              <w:jc w:val="center"/>
            </w:pPr>
            <w:r>
              <w:rPr>
                <w:b/>
                <w:color w:val="FFFFFF"/>
                <w:sz w:val="20"/>
              </w:rPr>
              <w:t>Strategic Importance</w:t>
            </w:r>
          </w:p>
        </w:tc>
      </w:tr>
      <w:tr>
        <w:tc>
          <w:tcPr>
            <w:tcW w:type="dxa" w:w="2880"/>
            <w:shd w:val="clear" w:color="auto" w:fill="F8FAFC"/>
          </w:tcPr>
          <w:p>
            <w:r>
              <w:rPr>
                <w:sz w:val="20"/>
              </w:rPr>
              <w:t>Model Performance</w:t>
            </w:r>
          </w:p>
        </w:tc>
        <w:tc>
          <w:tcPr>
            <w:tcW w:type="dxa" w:w="3168"/>
            <w:shd w:val="clear" w:color="auto" w:fill="F8FAFC"/>
          </w:tcPr>
          <w:p>
            <w:r>
              <w:rPr>
                <w:sz w:val="20"/>
              </w:rPr>
              <w:t>ROC-AUC &gt;= 0.85, Recall &gt;= 0.80</w:t>
            </w:r>
          </w:p>
        </w:tc>
        <w:tc>
          <w:tcPr>
            <w:tcW w:type="dxa" w:w="3312"/>
            <w:shd w:val="clear" w:color="auto" w:fill="F8FAFC"/>
          </w:tcPr>
          <w:p>
            <w:r>
              <w:rPr>
                <w:sz w:val="20"/>
              </w:rPr>
              <w:t>High recall ensures we do not miss churners.</w:t>
            </w:r>
          </w:p>
        </w:tc>
      </w:tr>
      <w:tr>
        <w:tc>
          <w:tcPr>
            <w:tcW w:type="dxa" w:w="2880"/>
            <w:shd w:val="clear" w:color="auto" w:fill="FFFFFF"/>
          </w:tcPr>
          <w:p>
            <w:r>
              <w:rPr>
                <w:sz w:val="20"/>
              </w:rPr>
              <w:t>API Latency</w:t>
            </w:r>
          </w:p>
        </w:tc>
        <w:tc>
          <w:tcPr>
            <w:tcW w:type="dxa" w:w="3168"/>
            <w:shd w:val="clear" w:color="auto" w:fill="FFFFFF"/>
          </w:tcPr>
          <w:p>
            <w:r>
              <w:rPr>
                <w:sz w:val="20"/>
              </w:rPr>
              <w:t>Average response time &lt; 500ms</w:t>
            </w:r>
          </w:p>
        </w:tc>
        <w:tc>
          <w:tcPr>
            <w:tcW w:type="dxa" w:w="3312"/>
            <w:shd w:val="clear" w:color="auto" w:fill="FFFFFF"/>
          </w:tcPr>
          <w:p>
            <w:r>
              <w:rPr>
                <w:sz w:val="20"/>
              </w:rPr>
              <w:t>Maintains client usability and responsive charts.</w:t>
            </w:r>
          </w:p>
        </w:tc>
      </w:tr>
      <w:tr>
        <w:tc>
          <w:tcPr>
            <w:tcW w:type="dxa" w:w="2880"/>
            <w:shd w:val="clear" w:color="auto" w:fill="F8FAFC"/>
          </w:tcPr>
          <w:p>
            <w:r>
              <w:rPr>
                <w:sz w:val="20"/>
              </w:rPr>
              <w:t>Data Integrity</w:t>
            </w:r>
          </w:p>
        </w:tc>
        <w:tc>
          <w:tcPr>
            <w:tcW w:type="dxa" w:w="3168"/>
            <w:shd w:val="clear" w:color="auto" w:fill="F8FAFC"/>
          </w:tcPr>
          <w:p>
            <w:r>
              <w:rPr>
                <w:sz w:val="20"/>
              </w:rPr>
              <w:t>Zero bulk upload contamination</w:t>
            </w:r>
          </w:p>
        </w:tc>
        <w:tc>
          <w:tcPr>
            <w:tcW w:type="dxa" w:w="3312"/>
            <w:shd w:val="clear" w:color="auto" w:fill="F8FAFC"/>
          </w:tcPr>
          <w:p>
            <w:r>
              <w:rPr>
                <w:sz w:val="20"/>
              </w:rPr>
              <w:t>Keeps bulk cohort tests isolated from core database.</w:t>
            </w:r>
          </w:p>
        </w:tc>
      </w:tr>
      <w:tr>
        <w:tc>
          <w:tcPr>
            <w:tcW w:type="dxa" w:w="2880"/>
            <w:shd w:val="clear" w:color="auto" w:fill="FFFFFF"/>
          </w:tcPr>
          <w:p>
            <w:r>
              <w:rPr>
                <w:sz w:val="20"/>
              </w:rPr>
              <w:t>Query Efficiency</w:t>
            </w:r>
          </w:p>
        </w:tc>
        <w:tc>
          <w:tcPr>
            <w:tcW w:type="dxa" w:w="3168"/>
            <w:shd w:val="clear" w:color="auto" w:fill="FFFFFF"/>
          </w:tcPr>
          <w:p>
            <w:r>
              <w:rPr>
                <w:sz w:val="20"/>
              </w:rPr>
              <w:t>Dashboard loads under 300ms</w:t>
            </w:r>
          </w:p>
        </w:tc>
        <w:tc>
          <w:tcPr>
            <w:tcW w:type="dxa" w:w="3312"/>
            <w:shd w:val="clear" w:color="auto" w:fill="FFFFFF"/>
          </w:tcPr>
          <w:p>
            <w:r>
              <w:rPr>
                <w:sz w:val="20"/>
              </w:rPr>
              <w:t>Required to solve database lock limitations.</w:t>
            </w:r>
          </w:p>
        </w:tc>
      </w:tr>
    </w:tbl>
    <w:p/>
    <w:p>
      <w:r>
        <w:br w:type="page"/>
      </w:r>
    </w:p>
    <w:p/>
    <w:p>
      <w:pPr>
        <w:spacing w:after="80"/>
      </w:pPr>
      <w:r>
        <w:rPr>
          <w:rFonts w:ascii="Calibri Light" w:hAnsi="Calibri Light"/>
          <w:b/>
          <w:color w:val="0F172A"/>
          <w:sz w:val="36"/>
        </w:rPr>
        <w:t>4. MVP Definition &amp; Scope</w:t>
      </w:r>
    </w:p>
    <w:p>
      <w:pPr>
        <w:spacing w:before="200" w:after="40"/>
      </w:pPr>
      <w:r>
        <w:rPr>
          <w:rFonts w:ascii="Calibri" w:hAnsi="Calibri"/>
          <w:b/>
          <w:color w:val="1D4ED8"/>
          <w:sz w:val="26"/>
        </w:rPr>
        <w:t>4.1 MVP Boundary Definition</w:t>
      </w:r>
    </w:p>
    <w:p>
      <w:pPr>
        <w:spacing w:after="120" w:line="276" w:lineRule="auto"/>
      </w:pPr>
      <w:r>
        <w:rPr>
          <w:rFonts w:ascii="Calibri" w:hAnsi="Calibri"/>
          <w:color w:val="475569"/>
          <w:sz w:val="22"/>
        </w:rPr>
        <w:t>The MVP is defined as the smallest functional set of features capable of scoring customer churn risk, explaining that risk to non-technical agents, and suggesting a basic retention recommendation. Features that add operational complexity without directly solving the core prediction problem have been postponed to subsequent releases.</w:t>
      </w:r>
    </w:p>
    <w:p>
      <w:pPr>
        <w:spacing w:before="200" w:after="40"/>
      </w:pPr>
      <w:r>
        <w:rPr>
          <w:rFonts w:ascii="Calibri" w:hAnsi="Calibri"/>
          <w:b/>
          <w:color w:val="1D4ED8"/>
          <w:sz w:val="26"/>
        </w:rPr>
        <w:t>4.2 MoSCoW Prioritization Matrix</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160"/>
            <w:shd w:val="clear" w:color="auto" w:fill="0F172A"/>
            <w:vAlign w:val="center"/>
          </w:tcPr>
          <w:p>
            <w:pPr>
              <w:jc w:val="center"/>
            </w:pPr>
            <w:r>
              <w:rPr>
                <w:b/>
                <w:color w:val="FFFFFF"/>
                <w:sz w:val="20"/>
              </w:rPr>
              <w:t>Feature Category</w:t>
            </w:r>
          </w:p>
        </w:tc>
        <w:tc>
          <w:tcPr>
            <w:tcW w:type="dxa" w:w="2592"/>
            <w:shd w:val="clear" w:color="auto" w:fill="0F172A"/>
            <w:vAlign w:val="center"/>
          </w:tcPr>
          <w:p>
            <w:pPr>
              <w:jc w:val="center"/>
            </w:pPr>
            <w:r>
              <w:rPr>
                <w:b/>
                <w:color w:val="FFFFFF"/>
                <w:sz w:val="20"/>
              </w:rPr>
              <w:t>In MVP (Must Have / Should Have)</w:t>
            </w:r>
          </w:p>
        </w:tc>
        <w:tc>
          <w:tcPr>
            <w:tcW w:type="dxa" w:w="2592"/>
            <w:shd w:val="clear" w:color="auto" w:fill="0F172A"/>
            <w:vAlign w:val="center"/>
          </w:tcPr>
          <w:p>
            <w:pPr>
              <w:jc w:val="center"/>
            </w:pPr>
            <w:r>
              <w:rPr>
                <w:b/>
                <w:color w:val="FFFFFF"/>
                <w:sz w:val="20"/>
              </w:rPr>
              <w:t>Postponed (Could Have / Won't Have)</w:t>
            </w:r>
          </w:p>
        </w:tc>
        <w:tc>
          <w:tcPr>
            <w:tcW w:type="dxa" w:w="2016"/>
            <w:shd w:val="clear" w:color="auto" w:fill="0F172A"/>
            <w:vAlign w:val="center"/>
          </w:tcPr>
          <w:p>
            <w:pPr>
              <w:jc w:val="center"/>
            </w:pPr>
            <w:r>
              <w:rPr>
                <w:b/>
                <w:color w:val="FFFFFF"/>
                <w:sz w:val="20"/>
              </w:rPr>
              <w:t>Product Rationale</w:t>
            </w:r>
          </w:p>
        </w:tc>
      </w:tr>
      <w:tr>
        <w:tc>
          <w:tcPr>
            <w:tcW w:type="dxa" w:w="2160"/>
            <w:shd w:val="clear" w:color="auto" w:fill="F8FAFC"/>
          </w:tcPr>
          <w:p>
            <w:r>
              <w:rPr>
                <w:sz w:val="20"/>
              </w:rPr>
              <w:t>Authentication</w:t>
            </w:r>
          </w:p>
        </w:tc>
        <w:tc>
          <w:tcPr>
            <w:tcW w:type="dxa" w:w="2592"/>
            <w:shd w:val="clear" w:color="auto" w:fill="F8FAFC"/>
          </w:tcPr>
          <w:p>
            <w:r>
              <w:rPr>
                <w:sz w:val="20"/>
              </w:rPr>
              <w:t>JWT (HS256) Login &amp; SignUp</w:t>
            </w:r>
          </w:p>
        </w:tc>
        <w:tc>
          <w:tcPr>
            <w:tcW w:type="dxa" w:w="2592"/>
            <w:shd w:val="clear" w:color="auto" w:fill="F8FAFC"/>
          </w:tcPr>
          <w:p>
            <w:r>
              <w:rPr>
                <w:sz w:val="20"/>
              </w:rPr>
              <w:t>Multi-factor (MFA), SSO</w:t>
            </w:r>
          </w:p>
        </w:tc>
        <w:tc>
          <w:tcPr>
            <w:tcW w:type="dxa" w:w="2016"/>
            <w:shd w:val="clear" w:color="auto" w:fill="F8FAFC"/>
          </w:tcPr>
          <w:p>
            <w:r>
              <w:rPr>
                <w:sz w:val="20"/>
              </w:rPr>
              <w:t>Basic secure access is mandatory; advanced auth is postponed.</w:t>
            </w:r>
          </w:p>
        </w:tc>
      </w:tr>
      <w:tr>
        <w:tc>
          <w:tcPr>
            <w:tcW w:type="dxa" w:w="2160"/>
            <w:shd w:val="clear" w:color="auto" w:fill="FFFFFF"/>
          </w:tcPr>
          <w:p>
            <w:r>
              <w:rPr>
                <w:sz w:val="20"/>
              </w:rPr>
              <w:t>ML Engine</w:t>
            </w:r>
          </w:p>
        </w:tc>
        <w:tc>
          <w:tcPr>
            <w:tcW w:type="dxa" w:w="2592"/>
            <w:shd w:val="clear" w:color="auto" w:fill="FFFFFF"/>
          </w:tcPr>
          <w:p>
            <w:r>
              <w:rPr>
                <w:sz w:val="20"/>
              </w:rPr>
              <w:t>Logistic Regression (Standardized)</w:t>
            </w:r>
          </w:p>
        </w:tc>
        <w:tc>
          <w:tcPr>
            <w:tcW w:type="dxa" w:w="2592"/>
            <w:shd w:val="clear" w:color="auto" w:fill="FFFFFF"/>
          </w:tcPr>
          <w:p>
            <w:r>
              <w:rPr>
                <w:sz w:val="20"/>
              </w:rPr>
              <w:t>CatBoost (automatic swap UI)</w:t>
            </w:r>
          </w:p>
        </w:tc>
        <w:tc>
          <w:tcPr>
            <w:tcW w:type="dxa" w:w="2016"/>
            <w:shd w:val="clear" w:color="auto" w:fill="FFFFFF"/>
          </w:tcPr>
          <w:p>
            <w:r>
              <w:rPr>
                <w:sz w:val="20"/>
              </w:rPr>
              <w:t>CatBoost overfitted (1.0 ROC-AUC); LR is robust and stable.</w:t>
            </w:r>
          </w:p>
        </w:tc>
      </w:tr>
      <w:tr>
        <w:tc>
          <w:tcPr>
            <w:tcW w:type="dxa" w:w="2160"/>
            <w:shd w:val="clear" w:color="auto" w:fill="F8FAFC"/>
          </w:tcPr>
          <w:p>
            <w:r>
              <w:rPr>
                <w:sz w:val="20"/>
              </w:rPr>
              <w:t>Explainability</w:t>
            </w:r>
          </w:p>
        </w:tc>
        <w:tc>
          <w:tcPr>
            <w:tcW w:type="dxa" w:w="2592"/>
            <w:shd w:val="clear" w:color="auto" w:fill="F8FAFC"/>
          </w:tcPr>
          <w:p>
            <w:r>
              <w:rPr>
                <w:sz w:val="20"/>
              </w:rPr>
              <w:t>Local SHAP (Top 3 drivers)</w:t>
            </w:r>
          </w:p>
        </w:tc>
        <w:tc>
          <w:tcPr>
            <w:tcW w:type="dxa" w:w="2592"/>
            <w:shd w:val="clear" w:color="auto" w:fill="F8FAFC"/>
          </w:tcPr>
          <w:p>
            <w:r>
              <w:rPr>
                <w:sz w:val="20"/>
              </w:rPr>
              <w:t>Interactive global dependency plots</w:t>
            </w:r>
          </w:p>
        </w:tc>
        <w:tc>
          <w:tcPr>
            <w:tcW w:type="dxa" w:w="2016"/>
            <w:shd w:val="clear" w:color="auto" w:fill="F8FAFC"/>
          </w:tcPr>
          <w:p>
            <w:r>
              <w:rPr>
                <w:sz w:val="20"/>
              </w:rPr>
              <w:t>Agents need simple local drivers; complex plots are too technical.</w:t>
            </w:r>
          </w:p>
        </w:tc>
      </w:tr>
      <w:tr>
        <w:tc>
          <w:tcPr>
            <w:tcW w:type="dxa" w:w="2160"/>
            <w:shd w:val="clear" w:color="auto" w:fill="FFFFFF"/>
          </w:tcPr>
          <w:p>
            <w:r>
              <w:rPr>
                <w:sz w:val="20"/>
              </w:rPr>
              <w:t>Database</w:t>
            </w:r>
          </w:p>
        </w:tc>
        <w:tc>
          <w:tcPr>
            <w:tcW w:type="dxa" w:w="2592"/>
            <w:shd w:val="clear" w:color="auto" w:fill="FFFFFF"/>
          </w:tcPr>
          <w:p>
            <w:r>
              <w:rPr>
                <w:sz w:val="20"/>
              </w:rPr>
              <w:t>SQLite locally (Postgres prod setup)</w:t>
            </w:r>
          </w:p>
        </w:tc>
        <w:tc>
          <w:tcPr>
            <w:tcW w:type="dxa" w:w="2592"/>
            <w:shd w:val="clear" w:color="auto" w:fill="FFFFFF"/>
          </w:tcPr>
          <w:p>
            <w:r>
              <w:rPr>
                <w:sz w:val="20"/>
              </w:rPr>
              <w:t>Automatic multi-master replication</w:t>
            </w:r>
          </w:p>
        </w:tc>
        <w:tc>
          <w:tcPr>
            <w:tcW w:type="dxa" w:w="2016"/>
            <w:shd w:val="clear" w:color="auto" w:fill="FFFFFF"/>
          </w:tcPr>
          <w:p>
            <w:r>
              <w:rPr>
                <w:sz w:val="20"/>
              </w:rPr>
              <w:t>Zero-config SQLite fits MVP timeline; replica logic is post-MVP.</w:t>
            </w:r>
          </w:p>
        </w:tc>
      </w:tr>
      <w:tr>
        <w:tc>
          <w:tcPr>
            <w:tcW w:type="dxa" w:w="2160"/>
            <w:shd w:val="clear" w:color="auto" w:fill="F8FAFC"/>
          </w:tcPr>
          <w:p>
            <w:r>
              <w:rPr>
                <w:sz w:val="20"/>
              </w:rPr>
              <w:t>Uploads</w:t>
            </w:r>
          </w:p>
        </w:tc>
        <w:tc>
          <w:tcPr>
            <w:tcW w:type="dxa" w:w="2592"/>
            <w:shd w:val="clear" w:color="auto" w:fill="F8FAFC"/>
          </w:tcPr>
          <w:p>
            <w:r>
              <w:rPr>
                <w:sz w:val="20"/>
              </w:rPr>
              <w:t>Isolated CSV Bulk Prediction</w:t>
            </w:r>
          </w:p>
        </w:tc>
        <w:tc>
          <w:tcPr>
            <w:tcW w:type="dxa" w:w="2592"/>
            <w:shd w:val="clear" w:color="auto" w:fill="F8FAFC"/>
          </w:tcPr>
          <w:p>
            <w:r>
              <w:rPr>
                <w:sz w:val="20"/>
              </w:rPr>
              <w:t>Direct CRM database sync integrations</w:t>
            </w:r>
          </w:p>
        </w:tc>
        <w:tc>
          <w:tcPr>
            <w:tcW w:type="dxa" w:w="2016"/>
            <w:shd w:val="clear" w:color="auto" w:fill="F8FAFC"/>
          </w:tcPr>
          <w:p>
            <w:r>
              <w:rPr>
                <w:sz w:val="20"/>
              </w:rPr>
              <w:t>CSV upload satisfies trial analysis; CRM sync is high effort.</w:t>
            </w:r>
          </w:p>
        </w:tc>
      </w:tr>
      <w:tr>
        <w:tc>
          <w:tcPr>
            <w:tcW w:type="dxa" w:w="2160"/>
            <w:shd w:val="clear" w:color="auto" w:fill="FFFFFF"/>
          </w:tcPr>
          <w:p>
            <w:r>
              <w:rPr>
                <w:sz w:val="20"/>
              </w:rPr>
              <w:t>Reporting</w:t>
            </w:r>
          </w:p>
        </w:tc>
        <w:tc>
          <w:tcPr>
            <w:tcW w:type="dxa" w:w="2592"/>
            <w:shd w:val="clear" w:color="auto" w:fill="FFFFFF"/>
          </w:tcPr>
          <w:p>
            <w:r>
              <w:rPr>
                <w:sz w:val="20"/>
              </w:rPr>
              <w:t>Streaming CSV, Programmatic PDF</w:t>
            </w:r>
          </w:p>
        </w:tc>
        <w:tc>
          <w:tcPr>
            <w:tcW w:type="dxa" w:w="2592"/>
            <w:shd w:val="clear" w:color="auto" w:fill="FFFFFF"/>
          </w:tcPr>
          <w:p>
            <w:r>
              <w:rPr>
                <w:sz w:val="20"/>
              </w:rPr>
              <w:t>Interactive custom report builder</w:t>
            </w:r>
          </w:p>
        </w:tc>
        <w:tc>
          <w:tcPr>
            <w:tcW w:type="dxa" w:w="2016"/>
            <w:shd w:val="clear" w:color="auto" w:fill="FFFFFF"/>
          </w:tcPr>
          <w:p>
            <w:r>
              <w:rPr>
                <w:sz w:val="20"/>
              </w:rPr>
              <w:t>Static PDF and CSV exports satisfy basic audit requirements.</w:t>
            </w:r>
          </w:p>
        </w:tc>
      </w:tr>
      <w:tr>
        <w:tc>
          <w:tcPr>
            <w:tcW w:type="dxa" w:w="2160"/>
            <w:shd w:val="clear" w:color="auto" w:fill="F8FAFC"/>
          </w:tcPr>
          <w:p>
            <w:r>
              <w:rPr>
                <w:sz w:val="20"/>
              </w:rPr>
              <w:t>Dashboard</w:t>
            </w:r>
          </w:p>
        </w:tc>
        <w:tc>
          <w:tcPr>
            <w:tcW w:type="dxa" w:w="2592"/>
            <w:shd w:val="clear" w:color="auto" w:fill="F8FAFC"/>
          </w:tcPr>
          <w:p>
            <w:r>
              <w:rPr>
                <w:sz w:val="20"/>
              </w:rPr>
              <w:t>KPI cards &amp; 11 core charts</w:t>
            </w:r>
          </w:p>
        </w:tc>
        <w:tc>
          <w:tcPr>
            <w:tcW w:type="dxa" w:w="2592"/>
            <w:shd w:val="clear" w:color="auto" w:fill="F8FAFC"/>
          </w:tcPr>
          <w:p>
            <w:r>
              <w:rPr>
                <w:sz w:val="20"/>
              </w:rPr>
              <w:t>Real-time WebSocket metric updates</w:t>
            </w:r>
          </w:p>
        </w:tc>
        <w:tc>
          <w:tcPr>
            <w:tcW w:type="dxa" w:w="2016"/>
            <w:shd w:val="clear" w:color="auto" w:fill="F8FAFC"/>
          </w:tcPr>
          <w:p>
            <w:r>
              <w:rPr>
                <w:sz w:val="20"/>
              </w:rPr>
              <w:t>Periodic HTTP polling is simple; WebSockets add unnecessary overhead.</w:t>
            </w:r>
          </w:p>
        </w:tc>
      </w:tr>
      <w:tr>
        <w:tc>
          <w:tcPr>
            <w:tcW w:type="dxa" w:w="2160"/>
            <w:shd w:val="clear" w:color="auto" w:fill="FFFFFF"/>
          </w:tcPr>
          <w:p>
            <w:r>
              <w:rPr>
                <w:sz w:val="20"/>
              </w:rPr>
              <w:t>Actions</w:t>
            </w:r>
          </w:p>
        </w:tc>
        <w:tc>
          <w:tcPr>
            <w:tcW w:type="dxa" w:w="2592"/>
            <w:shd w:val="clear" w:color="auto" w:fill="FFFFFF"/>
          </w:tcPr>
          <w:p>
            <w:r>
              <w:rPr>
                <w:sz w:val="20"/>
              </w:rPr>
              <w:t>Rule-based recommendation mapping</w:t>
            </w:r>
          </w:p>
        </w:tc>
        <w:tc>
          <w:tcPr>
            <w:tcW w:type="dxa" w:w="2592"/>
            <w:shd w:val="clear" w:color="auto" w:fill="FFFFFF"/>
          </w:tcPr>
          <w:p>
            <w:r>
              <w:rPr>
                <w:sz w:val="20"/>
              </w:rPr>
              <w:t>Reinforcement learning for offers</w:t>
            </w:r>
          </w:p>
        </w:tc>
        <w:tc>
          <w:tcPr>
            <w:tcW w:type="dxa" w:w="2016"/>
            <w:shd w:val="clear" w:color="auto" w:fill="FFFFFF"/>
          </w:tcPr>
          <w:p>
            <w:r>
              <w:rPr>
                <w:sz w:val="20"/>
              </w:rPr>
              <w:t>Rules are legally auditable; ML-driven pricing is too risky.</w:t>
            </w:r>
          </w:p>
        </w:tc>
      </w:tr>
    </w:tbl>
    <w:p/>
    <w:p>
      <w:r>
        <w:br w:type="page"/>
      </w:r>
    </w:p>
    <w:p/>
    <w:p>
      <w:pPr>
        <w:spacing w:after="80"/>
      </w:pPr>
      <w:r>
        <w:rPr>
          <w:rFonts w:ascii="Calibri Light" w:hAnsi="Calibri Light"/>
          <w:b/>
          <w:color w:val="0F172A"/>
          <w:sz w:val="36"/>
        </w:rPr>
        <w:t>5. Incremental Sprint Delivery Roadmap</w:t>
      </w:r>
    </w:p>
    <w:p>
      <w:pPr>
        <w:spacing w:after="120" w:line="276" w:lineRule="auto"/>
      </w:pPr>
      <w:r>
        <w:rPr>
          <w:rFonts w:ascii="Calibri" w:hAnsi="Calibri"/>
          <w:color w:val="475569"/>
          <w:sz w:val="22"/>
        </w:rPr>
        <w:t>The project was executed across five structured sprints, moving from core system and database foundations to model validation, user interface development, bulk processing, and final performance tuning.</w:t>
      </w:r>
    </w:p>
    <w:p>
      <w:pPr>
        <w:spacing w:before="200" w:after="40"/>
      </w:pPr>
      <w:r>
        <w:rPr>
          <w:rFonts w:ascii="Calibri" w:hAnsi="Calibri"/>
          <w:b/>
          <w:color w:val="1D4ED8"/>
          <w:sz w:val="26"/>
        </w:rPr>
        <w:t>5.1 Sprint 1: System Foundation &amp; Secure Authentication</w:t>
      </w:r>
    </w:p>
    <w:p>
      <w:r>
        <w:rPr>
          <w:rFonts w:ascii="Calibri" w:hAnsi="Calibri"/>
          <w:b/>
          <w:color w:val="06958C"/>
          <w:sz w:val="22"/>
        </w:rPr>
        <w:t>Goal &amp; Business Objective</w:t>
      </w:r>
    </w:p>
    <w:p>
      <w:pPr>
        <w:spacing w:after="120" w:line="276" w:lineRule="auto"/>
      </w:pPr>
      <w:r>
        <w:rPr>
          <w:rFonts w:ascii="Calibri" w:hAnsi="Calibri"/>
          <w:color w:val="475569"/>
          <w:sz w:val="22"/>
        </w:rPr>
        <w:t>Establish the database schema, Pydantic validation models, and secure JWT-based login/signup infrastructure. The business objective is to ensure that customer demographic data is protected and administrative roles are restricted before predicting churn.</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0F172A"/>
            <w:vAlign w:val="center"/>
          </w:tcPr>
          <w:p>
            <w:pPr>
              <w:jc w:val="center"/>
            </w:pPr>
            <w:r>
              <w:rPr>
                <w:b/>
                <w:color w:val="FFFFFF"/>
                <w:sz w:val="20"/>
              </w:rPr>
              <w:t>Feature / Task</w:t>
            </w:r>
          </w:p>
        </w:tc>
        <w:tc>
          <w:tcPr>
            <w:tcW w:type="dxa" w:w="3168"/>
            <w:shd w:val="clear" w:color="auto" w:fill="0F172A"/>
            <w:vAlign w:val="center"/>
          </w:tcPr>
          <w:p>
            <w:pPr>
              <w:jc w:val="center"/>
            </w:pPr>
            <w:r>
              <w:rPr>
                <w:b/>
                <w:color w:val="FFFFFF"/>
                <w:sz w:val="20"/>
              </w:rPr>
              <w:t>User Story</w:t>
            </w:r>
          </w:p>
        </w:tc>
        <w:tc>
          <w:tcPr>
            <w:tcW w:type="dxa" w:w="3600"/>
            <w:shd w:val="clear" w:color="auto" w:fill="0F172A"/>
            <w:vAlign w:val="center"/>
          </w:tcPr>
          <w:p>
            <w:pPr>
              <w:jc w:val="center"/>
            </w:pPr>
            <w:r>
              <w:rPr>
                <w:b/>
                <w:color w:val="FFFFFF"/>
                <w:sz w:val="20"/>
              </w:rPr>
              <w:t>Acceptance Criteria</w:t>
            </w:r>
          </w:p>
        </w:tc>
      </w:tr>
      <w:tr>
        <w:tc>
          <w:tcPr>
            <w:tcW w:type="dxa" w:w="2592"/>
            <w:shd w:val="clear" w:color="auto" w:fill="F8FAFC"/>
          </w:tcPr>
          <w:p>
            <w:r>
              <w:rPr>
                <w:sz w:val="20"/>
              </w:rPr>
              <w:t>Database Setup</w:t>
            </w:r>
          </w:p>
        </w:tc>
        <w:tc>
          <w:tcPr>
            <w:tcW w:type="dxa" w:w="3168"/>
            <w:shd w:val="clear" w:color="auto" w:fill="F8FAFC"/>
          </w:tcPr>
          <w:p>
            <w:r>
              <w:rPr>
                <w:sz w:val="20"/>
              </w:rPr>
              <w:t>As a developer, I want to define the users and customers schema so we can persist core records.</w:t>
            </w:r>
          </w:p>
        </w:tc>
        <w:tc>
          <w:tcPr>
            <w:tcW w:type="dxa" w:w="3600"/>
            <w:shd w:val="clear" w:color="auto" w:fill="F8FAFC"/>
          </w:tcPr>
          <w:p>
            <w:r>
              <w:rPr>
                <w:sz w:val="20"/>
              </w:rPr>
              <w:t>Tables must be initialized in SQLite; foreign keys must be active.</w:t>
            </w:r>
          </w:p>
        </w:tc>
      </w:tr>
      <w:tr>
        <w:tc>
          <w:tcPr>
            <w:tcW w:type="dxa" w:w="2592"/>
            <w:shd w:val="clear" w:color="auto" w:fill="FFFFFF"/>
          </w:tcPr>
          <w:p>
            <w:r>
              <w:rPr>
                <w:sz w:val="20"/>
              </w:rPr>
              <w:t>JWT Login</w:t>
            </w:r>
          </w:p>
        </w:tc>
        <w:tc>
          <w:tcPr>
            <w:tcW w:type="dxa" w:w="3168"/>
            <w:shd w:val="clear" w:color="auto" w:fill="FFFFFF"/>
          </w:tcPr>
          <w:p>
            <w:r>
              <w:rPr>
                <w:sz w:val="20"/>
              </w:rPr>
              <w:t>As a manager, I want to authenticate securely using my credentials so I can access sensitive data.</w:t>
            </w:r>
          </w:p>
        </w:tc>
        <w:tc>
          <w:tcPr>
            <w:tcW w:type="dxa" w:w="3600"/>
            <w:shd w:val="clear" w:color="auto" w:fill="FFFFFF"/>
          </w:tcPr>
          <w:p>
            <w:r>
              <w:rPr>
                <w:sz w:val="20"/>
              </w:rPr>
              <w:t>POST /auth/login returns JWT token with 120-minute expiry on success; 401 on failure.</w:t>
            </w:r>
          </w:p>
        </w:tc>
      </w:tr>
      <w:tr>
        <w:tc>
          <w:tcPr>
            <w:tcW w:type="dxa" w:w="2592"/>
            <w:shd w:val="clear" w:color="auto" w:fill="F8FAFC"/>
          </w:tcPr>
          <w:p>
            <w:r>
              <w:rPr>
                <w:sz w:val="20"/>
              </w:rPr>
              <w:t>Admin Signup</w:t>
            </w:r>
          </w:p>
        </w:tc>
        <w:tc>
          <w:tcPr>
            <w:tcW w:type="dxa" w:w="3168"/>
            <w:shd w:val="clear" w:color="auto" w:fill="F8FAFC"/>
          </w:tcPr>
          <w:p>
            <w:r>
              <w:rPr>
                <w:sz w:val="20"/>
              </w:rPr>
              <w:t>As an administrator, I want to create new manager accounts so I can delegate retention work.</w:t>
            </w:r>
          </w:p>
        </w:tc>
        <w:tc>
          <w:tcPr>
            <w:tcW w:type="dxa" w:w="3600"/>
            <w:shd w:val="clear" w:color="auto" w:fill="F8FAFC"/>
          </w:tcPr>
          <w:p>
            <w:r>
              <w:rPr>
                <w:sz w:val="20"/>
              </w:rPr>
              <w:t>Only authenticated 'admin' can hit signup route; passwords hashed with pbkdf2_sha256.</w:t>
            </w:r>
          </w:p>
        </w:tc>
      </w:tr>
    </w:tbl>
    <w:p/>
    <w:p>
      <w:pPr>
        <w:spacing w:after="120" w:line="276" w:lineRule="auto"/>
      </w:pPr>
      <w:r>
        <w:rPr>
          <w:rFonts w:ascii="Calibri" w:hAnsi="Calibri"/>
          <w:color w:val="475569"/>
          <w:sz w:val="22"/>
        </w:rPr>
        <w:t>**Dependencies:** None. This is the foundational sprint.</w:t>
      </w:r>
    </w:p>
    <w:p>
      <w:pPr>
        <w:spacing w:after="120" w:line="276" w:lineRule="auto"/>
      </w:pPr>
      <w:r>
        <w:rPr>
          <w:rFonts w:ascii="Calibri" w:hAnsi="Calibri"/>
          <w:color w:val="475569"/>
          <w:sz w:val="22"/>
        </w:rPr>
        <w:t>**Risks:** Storing weak passwords. **Mitigation:** Enforced a robust password strength regex checked server-side.</w:t>
      </w:r>
    </w:p>
    <w:p>
      <w:pPr>
        <w:spacing w:after="120" w:line="276" w:lineRule="auto"/>
      </w:pPr>
      <w:r>
        <w:rPr>
          <w:rFonts w:ascii="Calibri" w:hAnsi="Calibri"/>
          <w:color w:val="475569"/>
          <w:sz w:val="22"/>
        </w:rPr>
        <w:t>**Definition of Done:** 100% test coverage on auth routes; code reviewed by Team Leader; database schema committed to Git.</w:t>
      </w:r>
    </w:p>
    <w:p>
      <w:pPr>
        <w:spacing w:after="120" w:line="276" w:lineRule="auto"/>
      </w:pPr>
      <w:r>
        <w:rPr>
          <w:rFonts w:ascii="Calibri" w:hAnsi="Calibri"/>
          <w:color w:val="475569"/>
          <w:sz w:val="22"/>
        </w:rPr>
        <w:t>**Sprint Review Outcome:** Successfully authenticated client requests; default admin account seeded.</w:t>
      </w:r>
    </w:p>
    <w:p>
      <w:pPr>
        <w:spacing w:before="200" w:after="40"/>
      </w:pPr>
      <w:r>
        <w:rPr>
          <w:rFonts w:ascii="Calibri" w:hAnsi="Calibri"/>
          <w:b/>
          <w:color w:val="1D4ED8"/>
          <w:sz w:val="26"/>
        </w:rPr>
        <w:t>5.2 Sprint 2: Predictive Core &amp; Model Comparison</w:t>
      </w:r>
    </w:p>
    <w:p>
      <w:r>
        <w:rPr>
          <w:rFonts w:ascii="Calibri" w:hAnsi="Calibri"/>
          <w:b/>
          <w:color w:val="06958C"/>
          <w:sz w:val="22"/>
        </w:rPr>
        <w:t>Goal &amp; Business Objective</w:t>
      </w:r>
    </w:p>
    <w:p>
      <w:pPr>
        <w:spacing w:after="120" w:line="276" w:lineRule="auto"/>
      </w:pPr>
      <w:r>
        <w:rPr>
          <w:rFonts w:ascii="Calibri" w:hAnsi="Calibri"/>
          <w:color w:val="475569"/>
          <w:sz w:val="22"/>
        </w:rPr>
        <w:t>Build the end-to-end ML pipeline, run the multi-model comparison script, and integrate the selected champion model. The business objective is to deliver a highly accurate, generalisable model that avoids target leakage.</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0F172A"/>
            <w:vAlign w:val="center"/>
          </w:tcPr>
          <w:p>
            <w:pPr>
              <w:jc w:val="center"/>
            </w:pPr>
            <w:r>
              <w:rPr>
                <w:b/>
                <w:color w:val="FFFFFF"/>
                <w:sz w:val="20"/>
              </w:rPr>
              <w:t>Feature / Task</w:t>
            </w:r>
          </w:p>
        </w:tc>
        <w:tc>
          <w:tcPr>
            <w:tcW w:type="dxa" w:w="3168"/>
            <w:shd w:val="clear" w:color="auto" w:fill="0F172A"/>
            <w:vAlign w:val="center"/>
          </w:tcPr>
          <w:p>
            <w:pPr>
              <w:jc w:val="center"/>
            </w:pPr>
            <w:r>
              <w:rPr>
                <w:b/>
                <w:color w:val="FFFFFF"/>
                <w:sz w:val="20"/>
              </w:rPr>
              <w:t>User Story</w:t>
            </w:r>
          </w:p>
        </w:tc>
        <w:tc>
          <w:tcPr>
            <w:tcW w:type="dxa" w:w="3600"/>
            <w:shd w:val="clear" w:color="auto" w:fill="0F172A"/>
            <w:vAlign w:val="center"/>
          </w:tcPr>
          <w:p>
            <w:pPr>
              <w:jc w:val="center"/>
            </w:pPr>
            <w:r>
              <w:rPr>
                <w:b/>
                <w:color w:val="FFFFFF"/>
                <w:sz w:val="20"/>
              </w:rPr>
              <w:t>Acceptance Criteria</w:t>
            </w:r>
          </w:p>
        </w:tc>
      </w:tr>
      <w:tr>
        <w:tc>
          <w:tcPr>
            <w:tcW w:type="dxa" w:w="2592"/>
            <w:shd w:val="clear" w:color="auto" w:fill="F8FAFC"/>
          </w:tcPr>
          <w:p>
            <w:r>
              <w:rPr>
                <w:sz w:val="20"/>
              </w:rPr>
              <w:t>Leakage Check</w:t>
            </w:r>
          </w:p>
        </w:tc>
        <w:tc>
          <w:tcPr>
            <w:tcW w:type="dxa" w:w="3168"/>
            <w:shd w:val="clear" w:color="auto" w:fill="F8FAFC"/>
          </w:tcPr>
          <w:p>
            <w:r>
              <w:rPr>
                <w:sz w:val="20"/>
              </w:rPr>
              <w:t>As a data engineer, I want to drop columns with high target correlation so the model doesn't overfit.</w:t>
            </w:r>
          </w:p>
        </w:tc>
        <w:tc>
          <w:tcPr>
            <w:tcW w:type="dxa" w:w="3600"/>
            <w:shd w:val="clear" w:color="auto" w:fill="F8FAFC"/>
          </w:tcPr>
          <w:p>
            <w:r>
              <w:rPr>
                <w:sz w:val="20"/>
              </w:rPr>
              <w:t>check_data_leakage() must drop Customer_ID and columns with correlation &gt;0.95.</w:t>
            </w:r>
          </w:p>
        </w:tc>
      </w:tr>
      <w:tr>
        <w:tc>
          <w:tcPr>
            <w:tcW w:type="dxa" w:w="2592"/>
            <w:shd w:val="clear" w:color="auto" w:fill="FFFFFF"/>
          </w:tcPr>
          <w:p>
            <w:r>
              <w:rPr>
                <w:sz w:val="20"/>
              </w:rPr>
              <w:t>Model Compare</w:t>
            </w:r>
          </w:p>
        </w:tc>
        <w:tc>
          <w:tcPr>
            <w:tcW w:type="dxa" w:w="3168"/>
            <w:shd w:val="clear" w:color="auto" w:fill="FFFFFF"/>
          </w:tcPr>
          <w:p>
            <w:r>
              <w:rPr>
                <w:sz w:val="20"/>
              </w:rPr>
              <w:t>As a PO, I want to train multiple models and compare them so we select the best generaliser.</w:t>
            </w:r>
          </w:p>
        </w:tc>
        <w:tc>
          <w:tcPr>
            <w:tcW w:type="dxa" w:w="3600"/>
            <w:shd w:val="clear" w:color="auto" w:fill="FFFFFF"/>
          </w:tcPr>
          <w:p>
            <w:r>
              <w:rPr>
                <w:sz w:val="20"/>
              </w:rPr>
              <w:t>Comparison script compares LR, RF, GB, XGBoost, and CatBoost on a stratified split.</w:t>
            </w:r>
          </w:p>
        </w:tc>
      </w:tr>
      <w:tr>
        <w:tc>
          <w:tcPr>
            <w:tcW w:type="dxa" w:w="2592"/>
            <w:shd w:val="clear" w:color="auto" w:fill="F8FAFC"/>
          </w:tcPr>
          <w:p>
            <w:r>
              <w:rPr>
                <w:sz w:val="20"/>
              </w:rPr>
              <w:t>Champion Save</w:t>
            </w:r>
          </w:p>
        </w:tc>
        <w:tc>
          <w:tcPr>
            <w:tcW w:type="dxa" w:w="3168"/>
            <w:shd w:val="clear" w:color="auto" w:fill="F8FAFC"/>
          </w:tcPr>
          <w:p>
            <w:r>
              <w:rPr>
                <w:sz w:val="20"/>
              </w:rPr>
              <w:t>As a developer, I want to serialize the champion model and preprocessor so the API can load them.</w:t>
            </w:r>
          </w:p>
        </w:tc>
        <w:tc>
          <w:tcPr>
            <w:tcW w:type="dxa" w:w="3600"/>
            <w:shd w:val="clear" w:color="auto" w:fill="F8FAFC"/>
          </w:tcPr>
          <w:p>
            <w:r>
              <w:rPr>
                <w:sz w:val="20"/>
              </w:rPr>
              <w:t>Save winner to model_artifacts/; write metrics to model_metrics.json.</w:t>
            </w:r>
          </w:p>
        </w:tc>
      </w:tr>
    </w:tbl>
    <w:p/>
    <w:p>
      <w:pPr>
        <w:spacing w:after="120" w:line="276" w:lineRule="auto"/>
      </w:pPr>
      <w:r>
        <w:rPr>
          <w:rFonts w:ascii="Calibri" w:hAnsi="Calibri"/>
          <w:color w:val="475569"/>
          <w:sz w:val="22"/>
        </w:rPr>
        <w:t>**Dependencies:** Database schema initialized (Sprint 1).</w:t>
      </w:r>
    </w:p>
    <w:p>
      <w:pPr>
        <w:spacing w:after="120" w:line="276" w:lineRule="auto"/>
      </w:pPr>
      <w:r>
        <w:rPr>
          <w:rFonts w:ascii="Calibri" w:hAnsi="Calibri"/>
          <w:color w:val="475569"/>
          <w:sz w:val="22"/>
        </w:rPr>
        <w:t>**Risks:** Overfitting on tree-based models (RF, CatBoost, XGBoost all scored a perfect 1.0). **Mitigation:** Disqualified all models with ROC-AUC &gt;= 0.999 or train/test gap &gt; 5%; selected Logistic Regression as the stable champion.</w:t>
      </w:r>
    </w:p>
    <w:p>
      <w:pPr>
        <w:spacing w:after="120" w:line="276" w:lineRule="auto"/>
      </w:pPr>
      <w:r>
        <w:rPr>
          <w:rFonts w:ascii="Calibri" w:hAnsi="Calibri"/>
          <w:color w:val="475569"/>
          <w:sz w:val="22"/>
        </w:rPr>
        <w:t>**Definition of Done:** Comparison reports (ROC curves, confusion matrix) saved to reports/; preprocessor serialized via pickle.</w:t>
      </w:r>
    </w:p>
    <w:p>
      <w:pPr>
        <w:spacing w:after="120" w:line="276" w:lineRule="auto"/>
      </w:pPr>
      <w:r>
        <w:rPr>
          <w:rFonts w:ascii="Calibri" w:hAnsi="Calibri"/>
          <w:color w:val="475569"/>
          <w:sz w:val="22"/>
        </w:rPr>
        <w:t>**Sprint Review Outcome:** Tech Lead approved the selection of Logistic Regression (ROC-AUC 0.9463, CV ROC-AUC 0.9374).</w:t>
      </w:r>
    </w:p>
    <w:p>
      <w:pPr>
        <w:spacing w:before="200" w:after="40"/>
      </w:pPr>
      <w:r>
        <w:rPr>
          <w:rFonts w:ascii="Calibri" w:hAnsi="Calibri"/>
          <w:b/>
          <w:color w:val="1D4ED8"/>
          <w:sz w:val="26"/>
        </w:rPr>
        <w:t>5.3 Sprint 3: Customer Profiles &amp; Direct Interventions</w:t>
      </w:r>
    </w:p>
    <w:p>
      <w:r>
        <w:rPr>
          <w:rFonts w:ascii="Calibri" w:hAnsi="Calibri"/>
          <w:b/>
          <w:color w:val="06958C"/>
          <w:sz w:val="22"/>
        </w:rPr>
        <w:t>Goal &amp; Business Objective</w:t>
      </w:r>
    </w:p>
    <w:p>
      <w:pPr>
        <w:spacing w:after="120" w:line="276" w:lineRule="auto"/>
      </w:pPr>
      <w:r>
        <w:rPr>
          <w:rFonts w:ascii="Calibri" w:hAnsi="Calibri"/>
          <w:color w:val="475569"/>
          <w:sz w:val="22"/>
        </w:rPr>
        <w:t>Implement the Customer Directory, Customer Profile view, SHAP-based local explainability, and the recommendation engine. The business objective is to present actionable, explainable churn data directly to customer success agents.</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0F172A"/>
            <w:vAlign w:val="center"/>
          </w:tcPr>
          <w:p>
            <w:pPr>
              <w:jc w:val="center"/>
            </w:pPr>
            <w:r>
              <w:rPr>
                <w:b/>
                <w:color w:val="FFFFFF"/>
                <w:sz w:val="20"/>
              </w:rPr>
              <w:t>Feature / Task</w:t>
            </w:r>
          </w:p>
        </w:tc>
        <w:tc>
          <w:tcPr>
            <w:tcW w:type="dxa" w:w="3168"/>
            <w:shd w:val="clear" w:color="auto" w:fill="0F172A"/>
            <w:vAlign w:val="center"/>
          </w:tcPr>
          <w:p>
            <w:pPr>
              <w:jc w:val="center"/>
            </w:pPr>
            <w:r>
              <w:rPr>
                <w:b/>
                <w:color w:val="FFFFFF"/>
                <w:sz w:val="20"/>
              </w:rPr>
              <w:t>User Story</w:t>
            </w:r>
          </w:p>
        </w:tc>
        <w:tc>
          <w:tcPr>
            <w:tcW w:type="dxa" w:w="3600"/>
            <w:shd w:val="clear" w:color="auto" w:fill="0F172A"/>
            <w:vAlign w:val="center"/>
          </w:tcPr>
          <w:p>
            <w:pPr>
              <w:jc w:val="center"/>
            </w:pPr>
            <w:r>
              <w:rPr>
                <w:b/>
                <w:color w:val="FFFFFF"/>
                <w:sz w:val="20"/>
              </w:rPr>
              <w:t>Acceptance Criteria</w:t>
            </w:r>
          </w:p>
        </w:tc>
      </w:tr>
      <w:tr>
        <w:tc>
          <w:tcPr>
            <w:tcW w:type="dxa" w:w="2592"/>
            <w:shd w:val="clear" w:color="auto" w:fill="F8FAFC"/>
          </w:tcPr>
          <w:p>
            <w:r>
              <w:rPr>
                <w:sz w:val="20"/>
              </w:rPr>
              <w:t>Customer Directory</w:t>
            </w:r>
          </w:p>
        </w:tc>
        <w:tc>
          <w:tcPr>
            <w:tcW w:type="dxa" w:w="3168"/>
            <w:shd w:val="clear" w:color="auto" w:fill="F8FAFC"/>
          </w:tcPr>
          <w:p>
            <w:r>
              <w:rPr>
                <w:sz w:val="20"/>
              </w:rPr>
              <w:t>As an agent, I want to search and filter customers by risk tier so I can prioritize my tasks.</w:t>
            </w:r>
          </w:p>
        </w:tc>
        <w:tc>
          <w:tcPr>
            <w:tcW w:type="dxa" w:w="3600"/>
            <w:shd w:val="clear" w:color="auto" w:fill="F8FAFC"/>
          </w:tcPr>
          <w:p>
            <w:r>
              <w:rPr>
                <w:sz w:val="20"/>
              </w:rPr>
              <w:t>Paginated directory loading in &lt;200ms; filter by High/Medium/Low risk.</w:t>
            </w:r>
          </w:p>
        </w:tc>
      </w:tr>
      <w:tr>
        <w:tc>
          <w:tcPr>
            <w:tcW w:type="dxa" w:w="2592"/>
            <w:shd w:val="clear" w:color="auto" w:fill="FFFFFF"/>
          </w:tcPr>
          <w:p>
            <w:r>
              <w:rPr>
                <w:sz w:val="20"/>
              </w:rPr>
              <w:t>SHAP Integration</w:t>
            </w:r>
          </w:p>
        </w:tc>
        <w:tc>
          <w:tcPr>
            <w:tcW w:type="dxa" w:w="3168"/>
            <w:shd w:val="clear" w:color="auto" w:fill="FFFFFF"/>
          </w:tcPr>
          <w:p>
            <w:r>
              <w:rPr>
                <w:sz w:val="20"/>
              </w:rPr>
              <w:t>As an agent, I want to see why a customer is at risk so I can customize my conversation.</w:t>
            </w:r>
          </w:p>
        </w:tc>
        <w:tc>
          <w:tcPr>
            <w:tcW w:type="dxa" w:w="3600"/>
            <w:shd w:val="clear" w:color="auto" w:fill="FFFFFF"/>
          </w:tcPr>
          <w:p>
            <w:r>
              <w:rPr>
                <w:sz w:val="20"/>
              </w:rPr>
              <w:t>Local explanation displays top 3 features with direction labels ('Increases Risk').</w:t>
            </w:r>
          </w:p>
        </w:tc>
      </w:tr>
      <w:tr>
        <w:tc>
          <w:tcPr>
            <w:tcW w:type="dxa" w:w="2592"/>
            <w:shd w:val="clear" w:color="auto" w:fill="F8FAFC"/>
          </w:tcPr>
          <w:p>
            <w:r>
              <w:rPr>
                <w:sz w:val="20"/>
              </w:rPr>
              <w:t>Risk Bucketing</w:t>
            </w:r>
          </w:p>
        </w:tc>
        <w:tc>
          <w:tcPr>
            <w:tcW w:type="dxa" w:w="3168"/>
            <w:shd w:val="clear" w:color="auto" w:fill="F8FAFC"/>
          </w:tcPr>
          <w:p>
            <w:r>
              <w:rPr>
                <w:sz w:val="20"/>
              </w:rPr>
              <w:t>As a manager, I want the system to suggest offers based on risk so agents act consistently.</w:t>
            </w:r>
          </w:p>
        </w:tc>
        <w:tc>
          <w:tcPr>
            <w:tcW w:type="dxa" w:w="3600"/>
            <w:shd w:val="clear" w:color="auto" w:fill="F8FAFC"/>
          </w:tcPr>
          <w:p>
            <w:r>
              <w:rPr>
                <w:sz w:val="20"/>
              </w:rPr>
              <w:t>High Risk (&gt;=70%) gets 'Offer Discount'; Medium Risk (30-70%) gets 'Upgrade'; Low gets 'No Action'.</w:t>
            </w:r>
          </w:p>
        </w:tc>
      </w:tr>
    </w:tbl>
    <w:p/>
    <w:p>
      <w:pPr>
        <w:spacing w:after="120" w:line="276" w:lineRule="auto"/>
      </w:pPr>
      <w:r>
        <w:rPr>
          <w:rFonts w:ascii="Calibri" w:hAnsi="Calibri"/>
          <w:color w:val="475569"/>
          <w:sz w:val="22"/>
        </w:rPr>
        <w:t>**Dependencies:** Model serialized and preprocessor loaded (Sprint 2).</w:t>
      </w:r>
    </w:p>
    <w:p>
      <w:pPr>
        <w:spacing w:after="120" w:line="276" w:lineRule="auto"/>
      </w:pPr>
      <w:r>
        <w:rPr>
          <w:rFonts w:ascii="Calibri" w:hAnsi="Calibri"/>
          <w:color w:val="475569"/>
          <w:sz w:val="22"/>
        </w:rPr>
        <w:t>**Risks:** TreeExplainer compatibility warnings due to active Logistic Regression model. **Mitigation:** Developed custom fallback in SHAPExplainer to use generic Explainer/LinearExplainer when TreeExplainer is incompatible.</w:t>
      </w:r>
    </w:p>
    <w:p>
      <w:pPr>
        <w:spacing w:after="120" w:line="276" w:lineRule="auto"/>
      </w:pPr>
      <w:r>
        <w:rPr>
          <w:rFonts w:ascii="Calibri" w:hAnsi="Calibri"/>
          <w:color w:val="475569"/>
          <w:sz w:val="22"/>
        </w:rPr>
        <w:t>**Definition of Done:** Directory and profile pages complete; SHAP outputs saved to explainability_json column in DB.</w:t>
      </w:r>
    </w:p>
    <w:p>
      <w:pPr>
        <w:spacing w:after="120" w:line="276" w:lineRule="auto"/>
      </w:pPr>
      <w:r>
        <w:rPr>
          <w:rFonts w:ascii="Calibri" w:hAnsi="Calibri"/>
          <w:color w:val="475569"/>
          <w:sz w:val="22"/>
        </w:rPr>
        <w:t>**Sprint Review Outcome:** Product Owner approved the local explanation visualization; verified simulated risk adjustments.</w:t>
      </w:r>
    </w:p>
    <w:p>
      <w:pPr>
        <w:spacing w:before="200" w:after="40"/>
      </w:pPr>
      <w:r>
        <w:rPr>
          <w:rFonts w:ascii="Calibri" w:hAnsi="Calibri"/>
          <w:b/>
          <w:color w:val="1D4ED8"/>
          <w:sz w:val="26"/>
        </w:rPr>
        <w:t>5.4 Sprint 4: Bulk Ingestion &amp; Executive Reporting</w:t>
      </w:r>
    </w:p>
    <w:p>
      <w:r>
        <w:rPr>
          <w:rFonts w:ascii="Calibri" w:hAnsi="Calibri"/>
          <w:b/>
          <w:color w:val="06958C"/>
          <w:sz w:val="22"/>
        </w:rPr>
        <w:t>Goal &amp; Business Objective</w:t>
      </w:r>
    </w:p>
    <w:p>
      <w:pPr>
        <w:spacing w:after="120" w:line="276" w:lineRule="auto"/>
      </w:pPr>
      <w:r>
        <w:rPr>
          <w:rFonts w:ascii="Calibri" w:hAnsi="Calibri"/>
          <w:color w:val="475569"/>
          <w:sz w:val="22"/>
        </w:rPr>
        <w:t>Develop the Bulk Prediction Studio, background processing tasks, and CSV/PDF report generators. The business objective is to support cohort analysis of unverified users without contaminating the core database.</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0F172A"/>
            <w:vAlign w:val="center"/>
          </w:tcPr>
          <w:p>
            <w:pPr>
              <w:jc w:val="center"/>
            </w:pPr>
            <w:r>
              <w:rPr>
                <w:b/>
                <w:color w:val="FFFFFF"/>
                <w:sz w:val="20"/>
              </w:rPr>
              <w:t>Feature / Task</w:t>
            </w:r>
          </w:p>
        </w:tc>
        <w:tc>
          <w:tcPr>
            <w:tcW w:type="dxa" w:w="3168"/>
            <w:shd w:val="clear" w:color="auto" w:fill="0F172A"/>
            <w:vAlign w:val="center"/>
          </w:tcPr>
          <w:p>
            <w:pPr>
              <w:jc w:val="center"/>
            </w:pPr>
            <w:r>
              <w:rPr>
                <w:b/>
                <w:color w:val="FFFFFF"/>
                <w:sz w:val="20"/>
              </w:rPr>
              <w:t>User Story</w:t>
            </w:r>
          </w:p>
        </w:tc>
        <w:tc>
          <w:tcPr>
            <w:tcW w:type="dxa" w:w="3600"/>
            <w:shd w:val="clear" w:color="auto" w:fill="0F172A"/>
            <w:vAlign w:val="center"/>
          </w:tcPr>
          <w:p>
            <w:pPr>
              <w:jc w:val="center"/>
            </w:pPr>
            <w:r>
              <w:rPr>
                <w:b/>
                <w:color w:val="FFFFFF"/>
                <w:sz w:val="20"/>
              </w:rPr>
              <w:t>Acceptance Criteria</w:t>
            </w:r>
          </w:p>
        </w:tc>
      </w:tr>
      <w:tr>
        <w:tc>
          <w:tcPr>
            <w:tcW w:type="dxa" w:w="2592"/>
            <w:shd w:val="clear" w:color="auto" w:fill="F8FAFC"/>
          </w:tcPr>
          <w:p>
            <w:r>
              <w:rPr>
                <w:sz w:val="20"/>
              </w:rPr>
              <w:t>Bulk Upload</w:t>
            </w:r>
          </w:p>
        </w:tc>
        <w:tc>
          <w:tcPr>
            <w:tcW w:type="dxa" w:w="3168"/>
            <w:shd w:val="clear" w:color="auto" w:fill="F8FAFC"/>
          </w:tcPr>
          <w:p>
            <w:r>
              <w:rPr>
                <w:sz w:val="20"/>
              </w:rPr>
              <w:t>As a manager, I want to upload a CSV of new users so I can batch-score their churn risk.</w:t>
            </w:r>
          </w:p>
        </w:tc>
        <w:tc>
          <w:tcPr>
            <w:tcW w:type="dxa" w:w="3600"/>
            <w:shd w:val="clear" w:color="auto" w:fill="F8FAFC"/>
          </w:tcPr>
          <w:p>
            <w:r>
              <w:rPr>
                <w:sz w:val="20"/>
              </w:rPr>
              <w:t>CSV uploaded via POST /predictions/bulk; processes in background using isolated tables.</w:t>
            </w:r>
          </w:p>
        </w:tc>
      </w:tr>
      <w:tr>
        <w:tc>
          <w:tcPr>
            <w:tcW w:type="dxa" w:w="2592"/>
            <w:shd w:val="clear" w:color="auto" w:fill="FFFFFF"/>
          </w:tcPr>
          <w:p>
            <w:r>
              <w:rPr>
                <w:sz w:val="20"/>
              </w:rPr>
              <w:t>Isolated Schema</w:t>
            </w:r>
          </w:p>
        </w:tc>
        <w:tc>
          <w:tcPr>
            <w:tcW w:type="dxa" w:w="3168"/>
            <w:shd w:val="clear" w:color="auto" w:fill="FFFFFF"/>
          </w:tcPr>
          <w:p>
            <w:r>
              <w:rPr>
                <w:sz w:val="20"/>
              </w:rPr>
              <w:t>As a developer, I want to keep bulk results separate from customers so KPI cards remain accurate.</w:t>
            </w:r>
          </w:p>
        </w:tc>
        <w:tc>
          <w:tcPr>
            <w:tcW w:type="dxa" w:w="3600"/>
            <w:shd w:val="clear" w:color="auto" w:fill="FFFFFF"/>
          </w:tcPr>
          <w:p>
            <w:r>
              <w:rPr>
                <w:sz w:val="20"/>
              </w:rPr>
              <w:t>Bulk results written to bulk_prediction_results; zero impact on /dashboard/kpis.</w:t>
            </w:r>
          </w:p>
        </w:tc>
      </w:tr>
      <w:tr>
        <w:tc>
          <w:tcPr>
            <w:tcW w:type="dxa" w:w="2592"/>
            <w:shd w:val="clear" w:color="auto" w:fill="F8FAFC"/>
          </w:tcPr>
          <w:p>
            <w:r>
              <w:rPr>
                <w:sz w:val="20"/>
              </w:rPr>
              <w:t>PDF Export</w:t>
            </w:r>
          </w:p>
        </w:tc>
        <w:tc>
          <w:tcPr>
            <w:tcW w:type="dxa" w:w="3168"/>
            <w:shd w:val="clear" w:color="auto" w:fill="F8FAFC"/>
          </w:tcPr>
          <w:p>
            <w:r>
              <w:rPr>
                <w:sz w:val="20"/>
              </w:rPr>
              <w:t>As an executive, I want a PDF summary of the bulk run so I can share it with key stakeholders.</w:t>
            </w:r>
          </w:p>
        </w:tc>
        <w:tc>
          <w:tcPr>
            <w:tcW w:type="dxa" w:w="3600"/>
            <w:shd w:val="clear" w:color="auto" w:fill="F8FAFC"/>
          </w:tcPr>
          <w:p>
            <w:r>
              <w:rPr>
                <w:sz w:val="20"/>
              </w:rPr>
              <w:t>Generates ReportLab PDF with KPIs, risk distribution table, and top high-risk users.</w:t>
            </w:r>
          </w:p>
        </w:tc>
      </w:tr>
    </w:tbl>
    <w:p/>
    <w:p>
      <w:pPr>
        <w:spacing w:after="120" w:line="276" w:lineRule="auto"/>
      </w:pPr>
      <w:r>
        <w:rPr>
          <w:rFonts w:ascii="Calibri" w:hAnsi="Calibri"/>
          <w:color w:val="475569"/>
          <w:sz w:val="22"/>
        </w:rPr>
        <w:t>**Dependencies:** Customer directory complete (Sprint 3).</w:t>
      </w:r>
    </w:p>
    <w:p>
      <w:pPr>
        <w:spacing w:after="120" w:line="276" w:lineRule="auto"/>
      </w:pPr>
      <w:r>
        <w:rPr>
          <w:rFonts w:ascii="Calibri" w:hAnsi="Calibri"/>
          <w:color w:val="475569"/>
          <w:sz w:val="22"/>
        </w:rPr>
        <w:t>**Risks:** Large uploads blocking the server event loop. **Mitigation:** Implemented FastAPI BackgroundTasks and streamed large CSV outputs row-by-row using Python generators (O(1) memory).</w:t>
      </w:r>
    </w:p>
    <w:p>
      <w:pPr>
        <w:spacing w:after="120" w:line="276" w:lineRule="auto"/>
      </w:pPr>
      <w:r>
        <w:rPr>
          <w:rFonts w:ascii="Calibri" w:hAnsi="Calibri"/>
          <w:color w:val="475569"/>
          <w:sz w:val="22"/>
        </w:rPr>
        <w:t>**Definition of Done:** Isolated bulk tables added to models; PDF output verified as uncorrupted binary data.</w:t>
      </w:r>
    </w:p>
    <w:p>
      <w:pPr>
        <w:spacing w:after="120" w:line="276" w:lineRule="auto"/>
      </w:pPr>
      <w:r>
        <w:rPr>
          <w:rFonts w:ascii="Calibri" w:hAnsi="Calibri"/>
          <w:color w:val="475569"/>
          <w:sz w:val="22"/>
        </w:rPr>
        <w:t>**Sprint Review Outcome:** Client accepted the isolated bulk studio; verified 2,000 row import completed in under 15 seconds.</w:t>
      </w:r>
    </w:p>
    <w:p>
      <w:pPr>
        <w:spacing w:before="200" w:after="40"/>
      </w:pPr>
      <w:r>
        <w:rPr>
          <w:rFonts w:ascii="Calibri" w:hAnsi="Calibri"/>
          <w:b/>
          <w:color w:val="1D4ED8"/>
          <w:sz w:val="26"/>
        </w:rPr>
        <w:t>5.5 Sprint 5: Analytics Dashboards &amp; Performance Optimization</w:t>
      </w:r>
    </w:p>
    <w:p>
      <w:r>
        <w:rPr>
          <w:rFonts w:ascii="Calibri" w:hAnsi="Calibri"/>
          <w:b/>
          <w:color w:val="06958C"/>
          <w:sz w:val="22"/>
        </w:rPr>
        <w:t>Goal &amp; Business Objective</w:t>
      </w:r>
    </w:p>
    <w:p>
      <w:pPr>
        <w:spacing w:after="120" w:line="276" w:lineRule="auto"/>
      </w:pPr>
      <w:r>
        <w:rPr>
          <w:rFonts w:ascii="Calibri" w:hAnsi="Calibri"/>
          <w:color w:val="475569"/>
          <w:sz w:val="22"/>
        </w:rPr>
        <w:t>Build the 11 charts for the Analytics Dashboard, resolve the SQLite database lock issue, and execute final integration tests. The business objective is to deliver a highly responsive, robust, and tested MVP.</w:t>
      </w:r>
    </w:p>
    <w:tbl>
      <w:tblPr>
        <w:tblStyle w:val="TableGrid"/>
        <w:tblW w:type="auto" w:w="0"/>
        <w:jc w:val="center"/>
        <w:tblLook w:firstColumn="1" w:firstRow="1" w:lastColumn="0" w:lastRow="0" w:noHBand="0" w:noVBand="1" w:val="04A0"/>
      </w:tblPr>
      <w:tblGrid>
        <w:gridCol w:w="2976"/>
        <w:gridCol w:w="2976"/>
        <w:gridCol w:w="2976"/>
      </w:tblGrid>
      <w:tr>
        <w:tc>
          <w:tcPr>
            <w:tcW w:type="dxa" w:w="2592"/>
            <w:shd w:val="clear" w:color="auto" w:fill="0F172A"/>
            <w:vAlign w:val="center"/>
          </w:tcPr>
          <w:p>
            <w:pPr>
              <w:jc w:val="center"/>
            </w:pPr>
            <w:r>
              <w:rPr>
                <w:b/>
                <w:color w:val="FFFFFF"/>
                <w:sz w:val="20"/>
              </w:rPr>
              <w:t>Feature / Task</w:t>
            </w:r>
          </w:p>
        </w:tc>
        <w:tc>
          <w:tcPr>
            <w:tcW w:type="dxa" w:w="3168"/>
            <w:shd w:val="clear" w:color="auto" w:fill="0F172A"/>
            <w:vAlign w:val="center"/>
          </w:tcPr>
          <w:p>
            <w:pPr>
              <w:jc w:val="center"/>
            </w:pPr>
            <w:r>
              <w:rPr>
                <w:b/>
                <w:color w:val="FFFFFF"/>
                <w:sz w:val="20"/>
              </w:rPr>
              <w:t>User Story</w:t>
            </w:r>
          </w:p>
        </w:tc>
        <w:tc>
          <w:tcPr>
            <w:tcW w:type="dxa" w:w="3600"/>
            <w:shd w:val="clear" w:color="auto" w:fill="0F172A"/>
            <w:vAlign w:val="center"/>
          </w:tcPr>
          <w:p>
            <w:pPr>
              <w:jc w:val="center"/>
            </w:pPr>
            <w:r>
              <w:rPr>
                <w:b/>
                <w:color w:val="FFFFFF"/>
                <w:sz w:val="20"/>
              </w:rPr>
              <w:t>Acceptance Criteria</w:t>
            </w:r>
          </w:p>
        </w:tc>
      </w:tr>
      <w:tr>
        <w:tc>
          <w:tcPr>
            <w:tcW w:type="dxa" w:w="2592"/>
            <w:shd w:val="clear" w:color="auto" w:fill="F8FAFC"/>
          </w:tcPr>
          <w:p>
            <w:r>
              <w:rPr>
                <w:sz w:val="20"/>
              </w:rPr>
              <w:t>11 Analytics Charts</w:t>
            </w:r>
          </w:p>
        </w:tc>
        <w:tc>
          <w:tcPr>
            <w:tcW w:type="dxa" w:w="3168"/>
            <w:shd w:val="clear" w:color="auto" w:fill="F8FAFC"/>
          </w:tcPr>
          <w:p>
            <w:r>
              <w:rPr>
                <w:sz w:val="20"/>
              </w:rPr>
              <w:t>As an executive, I want to view churn rates grouped by categories so I can plan campaigns.</w:t>
            </w:r>
          </w:p>
        </w:tc>
        <w:tc>
          <w:tcPr>
            <w:tcW w:type="dxa" w:w="3600"/>
            <w:shd w:val="clear" w:color="auto" w:fill="F8FAFC"/>
          </w:tcPr>
          <w:p>
            <w:r>
              <w:rPr>
                <w:sz w:val="20"/>
              </w:rPr>
              <w:t>Charts render churn by income, device, payment mode, age, and spend distribution.</w:t>
            </w:r>
          </w:p>
        </w:tc>
      </w:tr>
      <w:tr>
        <w:tc>
          <w:tcPr>
            <w:tcW w:type="dxa" w:w="2592"/>
            <w:shd w:val="clear" w:color="auto" w:fill="FFFFFF"/>
          </w:tcPr>
          <w:p>
            <w:r>
              <w:rPr>
                <w:sz w:val="20"/>
              </w:rPr>
              <w:t>View Optimization</w:t>
            </w:r>
          </w:p>
        </w:tc>
        <w:tc>
          <w:tcPr>
            <w:tcW w:type="dxa" w:w="3168"/>
            <w:shd w:val="clear" w:color="auto" w:fill="FFFFFF"/>
          </w:tcPr>
          <w:p>
            <w:r>
              <w:rPr>
                <w:sz w:val="20"/>
              </w:rPr>
              <w:t>As a developer, I want to optimize the database query speed so the dashboard loads under 300ms.</w:t>
            </w:r>
          </w:p>
        </w:tc>
        <w:tc>
          <w:tcPr>
            <w:tcW w:type="dxa" w:w="3600"/>
            <w:shd w:val="clear" w:color="auto" w:fill="FFFFFF"/>
          </w:tcPr>
          <w:p>
            <w:r>
              <w:rPr>
                <w:sz w:val="20"/>
              </w:rPr>
              <w:t>v_customer_predictions rewritten from window function to CTE-based MAX ID; runs &lt;50ms.</w:t>
            </w:r>
          </w:p>
        </w:tc>
      </w:tr>
      <w:tr>
        <w:tc>
          <w:tcPr>
            <w:tcW w:type="dxa" w:w="2592"/>
            <w:shd w:val="clear" w:color="auto" w:fill="F8FAFC"/>
          </w:tcPr>
          <w:p>
            <w:r>
              <w:rPr>
                <w:sz w:val="20"/>
              </w:rPr>
              <w:t>Quality Assurance</w:t>
            </w:r>
          </w:p>
        </w:tc>
        <w:tc>
          <w:tcPr>
            <w:tcW w:type="dxa" w:w="3168"/>
            <w:shd w:val="clear" w:color="auto" w:fill="F8FAFC"/>
          </w:tcPr>
          <w:p>
            <w:r>
              <w:rPr>
                <w:sz w:val="20"/>
              </w:rPr>
              <w:t>As a PO, I want 100% of integration tests to pass so I can verify release readiness.</w:t>
            </w:r>
          </w:p>
        </w:tc>
        <w:tc>
          <w:tcPr>
            <w:tcW w:type="dxa" w:w="3600"/>
            <w:shd w:val="clear" w:color="auto" w:fill="F8FAFC"/>
          </w:tcPr>
          <w:p>
            <w:r>
              <w:rPr>
                <w:sz w:val="20"/>
              </w:rPr>
              <w:t>104 pytest integration tests run and pass; database rolled back after each test.</w:t>
            </w:r>
          </w:p>
        </w:tc>
      </w:tr>
    </w:tbl>
    <w:p/>
    <w:p>
      <w:pPr>
        <w:spacing w:after="120" w:line="276" w:lineRule="auto"/>
      </w:pPr>
      <w:r>
        <w:rPr>
          <w:rFonts w:ascii="Calibri" w:hAnsi="Calibri"/>
          <w:color w:val="475569"/>
          <w:sz w:val="22"/>
        </w:rPr>
        <w:t>**Dependencies:** Bulk and core tables fully populated (Sprints 1–4).</w:t>
      </w:r>
    </w:p>
    <w:p>
      <w:pPr>
        <w:spacing w:after="120" w:line="276" w:lineRule="auto"/>
      </w:pPr>
      <w:r>
        <w:rPr>
          <w:rFonts w:ascii="Calibri" w:hAnsi="Calibri"/>
          <w:color w:val="475569"/>
          <w:sz w:val="22"/>
        </w:rPr>
        <w:t>**Risks:** SQLite serializing parallel read/write requests, causing timeouts. **Mitigation:** Replaced ROW_NUMBER() OVER query with indexed MAX ID join, delivering a 6.75× query speedup (270ms to 40ms).</w:t>
      </w:r>
    </w:p>
    <w:p>
      <w:pPr>
        <w:spacing w:after="120" w:line="276" w:lineRule="auto"/>
      </w:pPr>
      <w:r>
        <w:rPr>
          <w:rFonts w:ascii="Calibri" w:hAnsi="Calibri"/>
          <w:color w:val="475569"/>
          <w:sz w:val="22"/>
        </w:rPr>
        <w:t>**Definition of Done:** 104 tests pass; frontend build complete; Render blueprint configured and validated.</w:t>
      </w:r>
    </w:p>
    <w:p>
      <w:pPr>
        <w:spacing w:after="120" w:line="276" w:lineRule="auto"/>
      </w:pPr>
      <w:r>
        <w:rPr>
          <w:rFonts w:ascii="Calibri" w:hAnsi="Calibri"/>
          <w:color w:val="475569"/>
          <w:sz w:val="22"/>
        </w:rPr>
        <w:t>**Sprint Review Outcome:** Dashboard load time verified under 300ms; release baseline signed off.</w:t>
      </w:r>
    </w:p>
    <w:p>
      <w:r>
        <w:br w:type="page"/>
      </w:r>
    </w:p>
    <w:p/>
    <w:p>
      <w:pPr>
        <w:spacing w:after="80"/>
      </w:pPr>
      <w:r>
        <w:rPr>
          <w:rFonts w:ascii="Calibri Light" w:hAnsi="Calibri Light"/>
          <w:b/>
          <w:color w:val="0F172A"/>
          <w:sz w:val="36"/>
        </w:rPr>
        <w:t>6. Feature Prioritization Strategy</w:t>
      </w:r>
    </w:p>
    <w:p>
      <w:pPr>
        <w:spacing w:after="120" w:line="276" w:lineRule="auto"/>
      </w:pPr>
      <w:r>
        <w:rPr>
          <w:rFonts w:ascii="Calibri" w:hAnsi="Calibri"/>
          <w:color w:val="475569"/>
          <w:sz w:val="22"/>
        </w:rPr>
        <w:t>The prioritization strategy utilized the MoSCoW framework. Prioritization was driven by two factors: Business Urgency (impact on MRR) and Technical Dependencies (foundational layers first).</w:t>
      </w:r>
    </w:p>
    <w:p>
      <w:pPr>
        <w:spacing w:before="200" w:after="40"/>
      </w:pPr>
      <w:r>
        <w:rPr>
          <w:rFonts w:ascii="Calibri" w:hAnsi="Calibri"/>
          <w:b/>
          <w:color w:val="1D4ED8"/>
          <w:sz w:val="26"/>
        </w:rPr>
        <w:t>6.1 Prioritization Matrix Rationale</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160"/>
            <w:shd w:val="clear" w:color="auto" w:fill="0F172A"/>
            <w:vAlign w:val="center"/>
          </w:tcPr>
          <w:p>
            <w:pPr>
              <w:jc w:val="center"/>
            </w:pPr>
            <w:r>
              <w:rPr>
                <w:b/>
                <w:color w:val="FFFFFF"/>
                <w:sz w:val="20"/>
              </w:rPr>
              <w:t>Feature</w:t>
            </w:r>
          </w:p>
        </w:tc>
        <w:tc>
          <w:tcPr>
            <w:tcW w:type="dxa" w:w="1296"/>
            <w:shd w:val="clear" w:color="auto" w:fill="0F172A"/>
            <w:vAlign w:val="center"/>
          </w:tcPr>
          <w:p>
            <w:pPr>
              <w:jc w:val="center"/>
            </w:pPr>
            <w:r>
              <w:rPr>
                <w:b/>
                <w:color w:val="FFFFFF"/>
                <w:sz w:val="20"/>
              </w:rPr>
              <w:t>Priority</w:t>
            </w:r>
          </w:p>
        </w:tc>
        <w:tc>
          <w:tcPr>
            <w:tcW w:type="dxa" w:w="3600"/>
            <w:shd w:val="clear" w:color="auto" w:fill="0F172A"/>
            <w:vAlign w:val="center"/>
          </w:tcPr>
          <w:p>
            <w:pPr>
              <w:jc w:val="center"/>
            </w:pPr>
            <w:r>
              <w:rPr>
                <w:b/>
                <w:color w:val="FFFFFF"/>
                <w:sz w:val="20"/>
              </w:rPr>
              <w:t>Business Justification</w:t>
            </w:r>
          </w:p>
        </w:tc>
        <w:tc>
          <w:tcPr>
            <w:tcW w:type="dxa" w:w="3024"/>
            <w:shd w:val="clear" w:color="auto" w:fill="0F172A"/>
            <w:vAlign w:val="center"/>
          </w:tcPr>
          <w:p>
            <w:pPr>
              <w:jc w:val="center"/>
            </w:pPr>
            <w:r>
              <w:rPr>
                <w:b/>
                <w:color w:val="FFFFFF"/>
                <w:sz w:val="20"/>
              </w:rPr>
              <w:t>Technical Justification</w:t>
            </w:r>
          </w:p>
        </w:tc>
      </w:tr>
      <w:tr>
        <w:tc>
          <w:tcPr>
            <w:tcW w:type="dxa" w:w="2160"/>
            <w:shd w:val="clear" w:color="auto" w:fill="F8FAFC"/>
          </w:tcPr>
          <w:p>
            <w:r>
              <w:rPr>
                <w:sz w:val="20"/>
              </w:rPr>
              <w:t>JWT Security</w:t>
            </w:r>
          </w:p>
        </w:tc>
        <w:tc>
          <w:tcPr>
            <w:tcW w:type="dxa" w:w="1296"/>
            <w:shd w:val="clear" w:color="auto" w:fill="F8FAFC"/>
          </w:tcPr>
          <w:p>
            <w:r>
              <w:rPr>
                <w:sz w:val="20"/>
              </w:rPr>
              <w:t>MUST HAVE</w:t>
            </w:r>
          </w:p>
        </w:tc>
        <w:tc>
          <w:tcPr>
            <w:tcW w:type="dxa" w:w="3600"/>
            <w:shd w:val="clear" w:color="auto" w:fill="F8FAFC"/>
          </w:tcPr>
          <w:p>
            <w:r>
              <w:rPr>
                <w:sz w:val="20"/>
              </w:rPr>
              <w:t>Required for data privacy and regulatory compliance (GDPR/CCPA).</w:t>
            </w:r>
          </w:p>
        </w:tc>
        <w:tc>
          <w:tcPr>
            <w:tcW w:type="dxa" w:w="3024"/>
            <w:shd w:val="clear" w:color="auto" w:fill="F8FAFC"/>
          </w:tcPr>
          <w:p>
            <w:r>
              <w:rPr>
                <w:sz w:val="20"/>
              </w:rPr>
              <w:t>Must be built first to secure all subsequent API routes.</w:t>
            </w:r>
          </w:p>
        </w:tc>
      </w:tr>
      <w:tr>
        <w:tc>
          <w:tcPr>
            <w:tcW w:type="dxa" w:w="2160"/>
            <w:shd w:val="clear" w:color="auto" w:fill="FFFFFF"/>
          </w:tcPr>
          <w:p>
            <w:r>
              <w:rPr>
                <w:sz w:val="20"/>
              </w:rPr>
              <w:t>Logistic Regression</w:t>
            </w:r>
          </w:p>
        </w:tc>
        <w:tc>
          <w:tcPr>
            <w:tcW w:type="dxa" w:w="1296"/>
            <w:shd w:val="clear" w:color="auto" w:fill="FFFFFF"/>
          </w:tcPr>
          <w:p>
            <w:r>
              <w:rPr>
                <w:sz w:val="20"/>
              </w:rPr>
              <w:t>MUST HAVE</w:t>
            </w:r>
          </w:p>
        </w:tc>
        <w:tc>
          <w:tcPr>
            <w:tcW w:type="dxa" w:w="3600"/>
            <w:shd w:val="clear" w:color="auto" w:fill="FFFFFF"/>
          </w:tcPr>
          <w:p>
            <w:r>
              <w:rPr>
                <w:sz w:val="20"/>
              </w:rPr>
              <w:t>Ensures immediate, generalisable churn risk predictions with zero cost.</w:t>
            </w:r>
          </w:p>
        </w:tc>
        <w:tc>
          <w:tcPr>
            <w:tcW w:type="dxa" w:w="3024"/>
            <w:shd w:val="clear" w:color="auto" w:fill="FFFFFF"/>
          </w:tcPr>
          <w:p>
            <w:r>
              <w:rPr>
                <w:sz w:val="20"/>
              </w:rPr>
              <w:t>Simplest model with robust coefficients; avoids overfitting.</w:t>
            </w:r>
          </w:p>
        </w:tc>
      </w:tr>
      <w:tr>
        <w:tc>
          <w:tcPr>
            <w:tcW w:type="dxa" w:w="2160"/>
            <w:shd w:val="clear" w:color="auto" w:fill="F8FAFC"/>
          </w:tcPr>
          <w:p>
            <w:r>
              <w:rPr>
                <w:sz w:val="20"/>
              </w:rPr>
              <w:t>CTE View Optimization</w:t>
            </w:r>
          </w:p>
        </w:tc>
        <w:tc>
          <w:tcPr>
            <w:tcW w:type="dxa" w:w="1296"/>
            <w:shd w:val="clear" w:color="auto" w:fill="F8FAFC"/>
          </w:tcPr>
          <w:p>
            <w:r>
              <w:rPr>
                <w:sz w:val="20"/>
              </w:rPr>
              <w:t>MUST HAVE</w:t>
            </w:r>
          </w:p>
        </w:tc>
        <w:tc>
          <w:tcPr>
            <w:tcW w:type="dxa" w:w="3600"/>
            <w:shd w:val="clear" w:color="auto" w:fill="F8FAFC"/>
          </w:tcPr>
          <w:p>
            <w:r>
              <w:rPr>
                <w:sz w:val="20"/>
              </w:rPr>
              <w:t>Slow dashboard causes users to abandon the system.</w:t>
            </w:r>
          </w:p>
        </w:tc>
        <w:tc>
          <w:tcPr>
            <w:tcW w:type="dxa" w:w="3024"/>
            <w:shd w:val="clear" w:color="auto" w:fill="F8FAFC"/>
          </w:tcPr>
          <w:p>
            <w:r>
              <w:rPr>
                <w:sz w:val="20"/>
              </w:rPr>
              <w:t>Eliminates SQLite write lock contention from parallel API queries.</w:t>
            </w:r>
          </w:p>
        </w:tc>
      </w:tr>
      <w:tr>
        <w:tc>
          <w:tcPr>
            <w:tcW w:type="dxa" w:w="2160"/>
            <w:shd w:val="clear" w:color="auto" w:fill="FFFFFF"/>
          </w:tcPr>
          <w:p>
            <w:r>
              <w:rPr>
                <w:sz w:val="20"/>
              </w:rPr>
              <w:t>Bulk Prediction Isolation</w:t>
            </w:r>
          </w:p>
        </w:tc>
        <w:tc>
          <w:tcPr>
            <w:tcW w:type="dxa" w:w="1296"/>
            <w:shd w:val="clear" w:color="auto" w:fill="FFFFFF"/>
          </w:tcPr>
          <w:p>
            <w:r>
              <w:rPr>
                <w:sz w:val="20"/>
              </w:rPr>
              <w:t>MUST HAVE</w:t>
            </w:r>
          </w:p>
        </w:tc>
        <w:tc>
          <w:tcPr>
            <w:tcW w:type="dxa" w:w="3600"/>
            <w:shd w:val="clear" w:color="auto" w:fill="FFFFFF"/>
          </w:tcPr>
          <w:p>
            <w:r>
              <w:rPr>
                <w:sz w:val="20"/>
              </w:rPr>
              <w:t>Enables testing of cohort data without contaminating KPI cards.</w:t>
            </w:r>
          </w:p>
        </w:tc>
        <w:tc>
          <w:tcPr>
            <w:tcW w:type="dxa" w:w="3024"/>
            <w:shd w:val="clear" w:color="auto" w:fill="FFFFFF"/>
          </w:tcPr>
          <w:p>
            <w:r>
              <w:rPr>
                <w:sz w:val="20"/>
              </w:rPr>
              <w:t>Avoids expensive database joins and maintains integrity.</w:t>
            </w:r>
          </w:p>
        </w:tc>
      </w:tr>
      <w:tr>
        <w:tc>
          <w:tcPr>
            <w:tcW w:type="dxa" w:w="2160"/>
            <w:shd w:val="clear" w:color="auto" w:fill="F8FAFC"/>
          </w:tcPr>
          <w:p>
            <w:r>
              <w:rPr>
                <w:sz w:val="20"/>
              </w:rPr>
              <w:t>ReportLab PDF Export</w:t>
            </w:r>
          </w:p>
        </w:tc>
        <w:tc>
          <w:tcPr>
            <w:tcW w:type="dxa" w:w="1296"/>
            <w:shd w:val="clear" w:color="auto" w:fill="F8FAFC"/>
          </w:tcPr>
          <w:p>
            <w:r>
              <w:rPr>
                <w:sz w:val="20"/>
              </w:rPr>
              <w:t>SHOULD HAVE</w:t>
            </w:r>
          </w:p>
        </w:tc>
        <w:tc>
          <w:tcPr>
            <w:tcW w:type="dxa" w:w="3600"/>
            <w:shd w:val="clear" w:color="auto" w:fill="F8FAFC"/>
          </w:tcPr>
          <w:p>
            <w:r>
              <w:rPr>
                <w:sz w:val="20"/>
              </w:rPr>
              <w:t>Executives require shareable summaries of cohort prediction runs.</w:t>
            </w:r>
          </w:p>
        </w:tc>
        <w:tc>
          <w:tcPr>
            <w:tcW w:type="dxa" w:w="3024"/>
            <w:shd w:val="clear" w:color="auto" w:fill="F8FAFC"/>
          </w:tcPr>
          <w:p>
            <w:r>
              <w:rPr>
                <w:sz w:val="20"/>
              </w:rPr>
              <w:t>Generates pure Python documents with zero system dependencies.</w:t>
            </w:r>
          </w:p>
        </w:tc>
      </w:tr>
      <w:tr>
        <w:tc>
          <w:tcPr>
            <w:tcW w:type="dxa" w:w="2160"/>
            <w:shd w:val="clear" w:color="auto" w:fill="FFFFFF"/>
          </w:tcPr>
          <w:p>
            <w:r>
              <w:rPr>
                <w:sz w:val="20"/>
              </w:rPr>
              <w:t>Interactive UI model swap</w:t>
            </w:r>
          </w:p>
        </w:tc>
        <w:tc>
          <w:tcPr>
            <w:tcW w:type="dxa" w:w="1296"/>
            <w:shd w:val="clear" w:color="auto" w:fill="FFFFFF"/>
          </w:tcPr>
          <w:p>
            <w:r>
              <w:rPr>
                <w:sz w:val="20"/>
              </w:rPr>
              <w:t>COULD HAVE</w:t>
            </w:r>
          </w:p>
        </w:tc>
        <w:tc>
          <w:tcPr>
            <w:tcW w:type="dxa" w:w="3600"/>
            <w:shd w:val="clear" w:color="auto" w:fill="FFFFFF"/>
          </w:tcPr>
          <w:p>
            <w:r>
              <w:rPr>
                <w:sz w:val="20"/>
              </w:rPr>
              <w:t>Nice for technical administrators but of no value to customer success agents.</w:t>
            </w:r>
          </w:p>
        </w:tc>
        <w:tc>
          <w:tcPr>
            <w:tcW w:type="dxa" w:w="3024"/>
            <w:shd w:val="clear" w:color="auto" w:fill="FFFFFF"/>
          </w:tcPr>
          <w:p>
            <w:r>
              <w:rPr>
                <w:sz w:val="20"/>
              </w:rPr>
              <w:t>Requires database migrations and model version history interface.</w:t>
            </w:r>
          </w:p>
        </w:tc>
      </w:tr>
      <w:tr>
        <w:tc>
          <w:tcPr>
            <w:tcW w:type="dxa" w:w="2160"/>
            <w:shd w:val="clear" w:color="auto" w:fill="F8FAFC"/>
          </w:tcPr>
          <w:p>
            <w:r>
              <w:rPr>
                <w:sz w:val="20"/>
              </w:rPr>
              <w:t>Automated Model retraining</w:t>
            </w:r>
          </w:p>
        </w:tc>
        <w:tc>
          <w:tcPr>
            <w:tcW w:type="dxa" w:w="1296"/>
            <w:shd w:val="clear" w:color="auto" w:fill="F8FAFC"/>
          </w:tcPr>
          <w:p>
            <w:r>
              <w:rPr>
                <w:sz w:val="20"/>
              </w:rPr>
              <w:t>COULD HAVE</w:t>
            </w:r>
          </w:p>
        </w:tc>
        <w:tc>
          <w:tcPr>
            <w:tcW w:type="dxa" w:w="3600"/>
            <w:shd w:val="clear" w:color="auto" w:fill="F8FAFC"/>
          </w:tcPr>
          <w:p>
            <w:r>
              <w:rPr>
                <w:sz w:val="20"/>
              </w:rPr>
              <w:t>Addresses model drift over time, which is a slow process.</w:t>
            </w:r>
          </w:p>
        </w:tc>
        <w:tc>
          <w:tcPr>
            <w:tcW w:type="dxa" w:w="3024"/>
            <w:shd w:val="clear" w:color="auto" w:fill="F8FAFC"/>
          </w:tcPr>
          <w:p>
            <w:r>
              <w:rPr>
                <w:sz w:val="20"/>
              </w:rPr>
              <w:t>Can be handled via offline Cron scripts for the initial release.</w:t>
            </w:r>
          </w:p>
        </w:tc>
      </w:tr>
      <w:tr>
        <w:tc>
          <w:tcPr>
            <w:tcW w:type="dxa" w:w="2160"/>
            <w:shd w:val="clear" w:color="auto" w:fill="FFFFFF"/>
          </w:tcPr>
          <w:p>
            <w:r>
              <w:rPr>
                <w:sz w:val="20"/>
              </w:rPr>
              <w:t>Real-time WebSockets</w:t>
            </w:r>
          </w:p>
        </w:tc>
        <w:tc>
          <w:tcPr>
            <w:tcW w:type="dxa" w:w="1296"/>
            <w:shd w:val="clear" w:color="auto" w:fill="FFFFFF"/>
          </w:tcPr>
          <w:p>
            <w:r>
              <w:rPr>
                <w:sz w:val="20"/>
              </w:rPr>
              <w:t>WON'T HAVE</w:t>
            </w:r>
          </w:p>
        </w:tc>
        <w:tc>
          <w:tcPr>
            <w:tcW w:type="dxa" w:w="3600"/>
            <w:shd w:val="clear" w:color="auto" w:fill="FFFFFF"/>
          </w:tcPr>
          <w:p>
            <w:r>
              <w:rPr>
                <w:sz w:val="20"/>
              </w:rPr>
              <w:t>User profiles do not change second-by-second; HTTP polling is sufficient.</w:t>
            </w:r>
          </w:p>
        </w:tc>
        <w:tc>
          <w:tcPr>
            <w:tcW w:type="dxa" w:w="3024"/>
            <w:shd w:val="clear" w:color="auto" w:fill="FFFFFF"/>
          </w:tcPr>
          <w:p>
            <w:r>
              <w:rPr>
                <w:sz w:val="20"/>
              </w:rPr>
              <w:t>Adds significant state management complexity on the frontend.</w:t>
            </w:r>
          </w:p>
        </w:tc>
      </w:tr>
    </w:tbl>
    <w:p/>
    <w:p>
      <w:r>
        <w:br w:type="page"/>
      </w:r>
    </w:p>
    <w:p/>
    <w:p>
      <w:pPr>
        <w:spacing w:after="80"/>
      </w:pPr>
      <w:r>
        <w:rPr>
          <w:rFonts w:ascii="Calibri Light" w:hAnsi="Calibri Light"/>
          <w:b/>
          <w:color w:val="0F172A"/>
          <w:sz w:val="36"/>
        </w:rPr>
        <w:t>7. Risks, Assumptions, Constraints, &amp; Dependencies</w:t>
      </w:r>
    </w:p>
    <w:p>
      <w:pPr>
        <w:spacing w:before="200" w:after="40"/>
      </w:pPr>
      <w:r>
        <w:rPr>
          <w:rFonts w:ascii="Calibri" w:hAnsi="Calibri"/>
          <w:b/>
          <w:color w:val="1D4ED8"/>
          <w:sz w:val="26"/>
        </w:rPr>
        <w:t>7.1 Key Risks &amp; Mitigations</w:t>
      </w:r>
    </w:p>
    <w:tbl>
      <w:tblPr>
        <w:tblStyle w:val="TableGrid"/>
        <w:tblW w:type="auto" w:w="0"/>
        <w:jc w:val="center"/>
        <w:tblLook w:firstColumn="1" w:firstRow="1" w:lastColumn="0" w:lastRow="0" w:noHBand="0" w:noVBand="1" w:val="04A0"/>
      </w:tblPr>
      <w:tblGrid>
        <w:gridCol w:w="2976"/>
        <w:gridCol w:w="2976"/>
        <w:gridCol w:w="2976"/>
      </w:tblGrid>
      <w:tr>
        <w:tc>
          <w:tcPr>
            <w:tcW w:type="dxa" w:w="3168"/>
            <w:shd w:val="clear" w:color="auto" w:fill="0F172A"/>
            <w:vAlign w:val="center"/>
          </w:tcPr>
          <w:p>
            <w:pPr>
              <w:jc w:val="center"/>
            </w:pPr>
            <w:r>
              <w:rPr>
                <w:b/>
                <w:color w:val="FFFFFF"/>
                <w:sz w:val="20"/>
              </w:rPr>
              <w:t>Risk Description</w:t>
            </w:r>
          </w:p>
        </w:tc>
        <w:tc>
          <w:tcPr>
            <w:tcW w:type="dxa" w:w="1872"/>
            <w:shd w:val="clear" w:color="auto" w:fill="0F172A"/>
            <w:vAlign w:val="center"/>
          </w:tcPr>
          <w:p>
            <w:pPr>
              <w:jc w:val="center"/>
            </w:pPr>
            <w:r>
              <w:rPr>
                <w:b/>
                <w:color w:val="FFFFFF"/>
                <w:sz w:val="20"/>
              </w:rPr>
              <w:t>Impact</w:t>
            </w:r>
          </w:p>
        </w:tc>
        <w:tc>
          <w:tcPr>
            <w:tcW w:type="dxa" w:w="5040"/>
            <w:shd w:val="clear" w:color="auto" w:fill="0F172A"/>
            <w:vAlign w:val="center"/>
          </w:tcPr>
          <w:p>
            <w:pPr>
              <w:jc w:val="center"/>
            </w:pPr>
            <w:r>
              <w:rPr>
                <w:b/>
                <w:color w:val="FFFFFF"/>
                <w:sz w:val="20"/>
              </w:rPr>
              <w:t>Mitigation Strategy</w:t>
            </w:r>
          </w:p>
        </w:tc>
      </w:tr>
      <w:tr>
        <w:tc>
          <w:tcPr>
            <w:tcW w:type="dxa" w:w="3168"/>
            <w:shd w:val="clear" w:color="auto" w:fill="F8FAFC"/>
          </w:tcPr>
          <w:p>
            <w:r>
              <w:rPr>
                <w:sz w:val="20"/>
              </w:rPr>
              <w:t>Model Drift over time</w:t>
            </w:r>
          </w:p>
        </w:tc>
        <w:tc>
          <w:tcPr>
            <w:tcW w:type="dxa" w:w="1872"/>
            <w:shd w:val="clear" w:color="auto" w:fill="F8FAFC"/>
          </w:tcPr>
          <w:p>
            <w:r>
              <w:rPr>
                <w:sz w:val="20"/>
              </w:rPr>
              <w:t>Medium</w:t>
            </w:r>
          </w:p>
        </w:tc>
        <w:tc>
          <w:tcPr>
            <w:tcW w:type="dxa" w:w="5040"/>
            <w:shd w:val="clear" w:color="auto" w:fill="F8FAFC"/>
          </w:tcPr>
          <w:p>
            <w:r>
              <w:rPr>
                <w:sz w:val="20"/>
              </w:rPr>
              <w:t>Log model performance statistics to the database for weekly review; prepare retraining scripts.</w:t>
            </w:r>
          </w:p>
        </w:tc>
      </w:tr>
      <w:tr>
        <w:tc>
          <w:tcPr>
            <w:tcW w:type="dxa" w:w="3168"/>
            <w:shd w:val="clear" w:color="auto" w:fill="FFFFFF"/>
          </w:tcPr>
          <w:p>
            <w:r>
              <w:rPr>
                <w:sz w:val="20"/>
              </w:rPr>
              <w:t>SQLite DB lock under load</w:t>
            </w:r>
          </w:p>
        </w:tc>
        <w:tc>
          <w:tcPr>
            <w:tcW w:type="dxa" w:w="1872"/>
            <w:shd w:val="clear" w:color="auto" w:fill="FFFFFF"/>
          </w:tcPr>
          <w:p>
            <w:r>
              <w:rPr>
                <w:sz w:val="20"/>
              </w:rPr>
              <w:t>High</w:t>
            </w:r>
          </w:p>
        </w:tc>
        <w:tc>
          <w:tcPr>
            <w:tcW w:type="dxa" w:w="5040"/>
            <w:shd w:val="clear" w:color="auto" w:fill="FFFFFF"/>
          </w:tcPr>
          <w:p>
            <w:r>
              <w:rPr>
                <w:sz w:val="20"/>
              </w:rPr>
              <w:t>View optimization using CTE-based MAX ID join; database connection pool limits tuned.</w:t>
            </w:r>
          </w:p>
        </w:tc>
      </w:tr>
      <w:tr>
        <w:tc>
          <w:tcPr>
            <w:tcW w:type="dxa" w:w="3168"/>
            <w:shd w:val="clear" w:color="auto" w:fill="F8FAFC"/>
          </w:tcPr>
          <w:p>
            <w:r>
              <w:rPr>
                <w:sz w:val="20"/>
              </w:rPr>
              <w:t>SHAP import failures on server</w:t>
            </w:r>
          </w:p>
        </w:tc>
        <w:tc>
          <w:tcPr>
            <w:tcW w:type="dxa" w:w="1872"/>
            <w:shd w:val="clear" w:color="auto" w:fill="F8FAFC"/>
          </w:tcPr>
          <w:p>
            <w:r>
              <w:rPr>
                <w:sz w:val="20"/>
              </w:rPr>
              <w:t>High</w:t>
            </w:r>
          </w:p>
        </w:tc>
        <w:tc>
          <w:tcPr>
            <w:tcW w:type="dxa" w:w="5040"/>
            <w:shd w:val="clear" w:color="auto" w:fill="F8FAFC"/>
          </w:tcPr>
          <w:p>
            <w:r>
              <w:rPr>
                <w:sz w:val="20"/>
              </w:rPr>
              <w:t>SHAP import wrapped in try/except; local explanation degrades gracefully without crashing.</w:t>
            </w:r>
          </w:p>
        </w:tc>
      </w:tr>
      <w:tr>
        <w:tc>
          <w:tcPr>
            <w:tcW w:type="dxa" w:w="3168"/>
            <w:shd w:val="clear" w:color="auto" w:fill="FFFFFF"/>
          </w:tcPr>
          <w:p>
            <w:r>
              <w:rPr>
                <w:sz w:val="20"/>
              </w:rPr>
              <w:t>CORS wildcards in production</w:t>
            </w:r>
          </w:p>
        </w:tc>
        <w:tc>
          <w:tcPr>
            <w:tcW w:type="dxa" w:w="1872"/>
            <w:shd w:val="clear" w:color="auto" w:fill="FFFFFF"/>
          </w:tcPr>
          <w:p>
            <w:r>
              <w:rPr>
                <w:sz w:val="20"/>
              </w:rPr>
              <w:t>Medium</w:t>
            </w:r>
          </w:p>
        </w:tc>
        <w:tc>
          <w:tcPr>
            <w:tcW w:type="dxa" w:w="5040"/>
            <w:shd w:val="clear" w:color="auto" w:fill="FFFFFF"/>
          </w:tcPr>
          <w:p>
            <w:r>
              <w:rPr>
                <w:sz w:val="20"/>
              </w:rPr>
              <w:t>Update CORSMiddleware configuration to restrict origins to the frontend domain before deployment.</w:t>
            </w:r>
          </w:p>
        </w:tc>
      </w:tr>
    </w:tbl>
    <w:p/>
    <w:p>
      <w:pPr>
        <w:spacing w:before="200" w:after="40"/>
      </w:pPr>
      <w:r>
        <w:rPr>
          <w:rFonts w:ascii="Calibri" w:hAnsi="Calibri"/>
          <w:b/>
          <w:color w:val="1D4ED8"/>
          <w:sz w:val="26"/>
        </w:rPr>
        <w:t>7.2 Critical Assumptions</w:t>
      </w:r>
    </w:p>
    <w:p>
      <w:pPr>
        <w:pStyle w:val="ListBullet"/>
        <w:spacing w:after="60"/>
        <w:ind w:left="360"/>
      </w:pPr>
      <w:r>
        <w:rPr>
          <w:rFonts w:ascii="Calibri" w:hAnsi="Calibri"/>
          <w:sz w:val="22"/>
        </w:rPr>
        <w:t>Standard Input Format: Assumes bulk uploads contain a header matching the standard 12 feature columns.</w:t>
      </w:r>
    </w:p>
    <w:p>
      <w:pPr>
        <w:pStyle w:val="ListBullet"/>
        <w:spacing w:after="60"/>
        <w:ind w:left="360"/>
      </w:pPr>
      <w:r>
        <w:rPr>
          <w:rFonts w:ascii="Calibri" w:hAnsi="Calibri"/>
          <w:sz w:val="22"/>
        </w:rPr>
        <w:t>Browser Environment: Assumes users run modern browsers supporting local storage and secure cookies.</w:t>
      </w:r>
    </w:p>
    <w:p>
      <w:pPr>
        <w:pStyle w:val="ListBullet"/>
        <w:spacing w:after="60"/>
        <w:ind w:left="360"/>
      </w:pPr>
      <w:r>
        <w:rPr>
          <w:rFonts w:ascii="Calibri" w:hAnsi="Calibri"/>
          <w:sz w:val="22"/>
        </w:rPr>
        <w:t>Data Availability: Assumes customer demographics and ticket interactions are updated daily by backend cron jobs.</w:t>
      </w:r>
    </w:p>
    <w:p>
      <w:pPr>
        <w:spacing w:before="200" w:after="40"/>
      </w:pPr>
      <w:r>
        <w:rPr>
          <w:rFonts w:ascii="Calibri" w:hAnsi="Calibri"/>
          <w:b/>
          <w:color w:val="1D4ED8"/>
          <w:sz w:val="26"/>
        </w:rPr>
        <w:t>7.3 Constraints</w:t>
      </w:r>
    </w:p>
    <w:p>
      <w:pPr>
        <w:pStyle w:val="ListBullet"/>
        <w:spacing w:after="60"/>
        <w:ind w:left="360"/>
      </w:pPr>
      <w:r>
        <w:rPr>
          <w:rFonts w:ascii="Calibri" w:hAnsi="Calibri"/>
          <w:sz w:val="22"/>
        </w:rPr>
        <w:t>Single Database Writer: SQLite locks the entire database for writes, limiting parallel bulk runs.</w:t>
      </w:r>
    </w:p>
    <w:p>
      <w:pPr>
        <w:pStyle w:val="ListBullet"/>
        <w:spacing w:after="60"/>
        <w:ind w:left="360"/>
      </w:pPr>
      <w:r>
        <w:rPr>
          <w:rFonts w:ascii="Calibri" w:hAnsi="Calibri"/>
          <w:sz w:val="22"/>
        </w:rPr>
        <w:t>Memory Limits: Free-tier Render hosting limits instances to 512MB RAM, restricting the size of parsed CSVs.</w:t>
      </w:r>
    </w:p>
    <w:p>
      <w:r>
        <w:br w:type="page"/>
      </w:r>
    </w:p>
    <w:p/>
    <w:p>
      <w:pPr>
        <w:spacing w:after="80"/>
      </w:pPr>
      <w:r>
        <w:rPr>
          <w:rFonts w:ascii="Calibri Light" w:hAnsi="Calibri Light"/>
          <w:b/>
          <w:color w:val="0F172A"/>
          <w:sz w:val="36"/>
        </w:rPr>
        <w:t>8. MVP Validation &amp; Release Readiness</w:t>
      </w:r>
    </w:p>
    <w:p>
      <w:pPr>
        <w:spacing w:before="200" w:after="40"/>
      </w:pPr>
      <w:r>
        <w:rPr>
          <w:rFonts w:ascii="Calibri" w:hAnsi="Calibri"/>
          <w:b/>
          <w:color w:val="1D4ED8"/>
          <w:sz w:val="26"/>
        </w:rPr>
        <w:t>8.1 Validation Strategy</w:t>
      </w:r>
    </w:p>
    <w:p>
      <w:pPr>
        <w:spacing w:after="120" w:line="276" w:lineRule="auto"/>
      </w:pPr>
      <w:r>
        <w:rPr>
          <w:rFonts w:ascii="Calibri" w:hAnsi="Calibri"/>
          <w:color w:val="475569"/>
          <w:sz w:val="22"/>
        </w:rPr>
        <w:t>1. Functional Verification: Execute the 104 integration tests to ensure API correctness and regression coverage.</w:t>
      </w:r>
    </w:p>
    <w:p>
      <w:pPr>
        <w:spacing w:after="120" w:line="276" w:lineRule="auto"/>
      </w:pPr>
      <w:r>
        <w:rPr>
          <w:rFonts w:ascii="Calibri" w:hAnsi="Calibri"/>
          <w:color w:val="475569"/>
          <w:sz w:val="22"/>
        </w:rPr>
        <w:t>2. Pilot Phase: Deploy to a staging environment and onboard three customer success agents to run predictions manually.</w:t>
      </w:r>
    </w:p>
    <w:p>
      <w:pPr>
        <w:spacing w:after="120" w:line="276" w:lineRule="auto"/>
      </w:pPr>
      <w:r>
        <w:rPr>
          <w:rFonts w:ascii="Calibri" w:hAnsi="Calibri"/>
          <w:color w:val="475569"/>
          <w:sz w:val="22"/>
        </w:rPr>
        <w:t>3. Shadow Execution: Run the Logistic Regression model in parallel with legacy customer tracking for two weeks.</w:t>
      </w:r>
    </w:p>
    <w:p>
      <w:pPr>
        <w:spacing w:after="120" w:line="276" w:lineRule="auto"/>
      </w:pPr>
      <w:r>
        <w:rPr>
          <w:rFonts w:ascii="Calibri" w:hAnsi="Calibri"/>
          <w:color w:val="475569"/>
          <w:sz w:val="22"/>
        </w:rPr>
        <w:t>4. Feedback Review: Analyze user actions to refine the risk scoring thresholds (30/70) and discount recommendations.</w:t>
      </w:r>
    </w:p>
    <w:p>
      <w:pPr>
        <w:spacing w:before="200" w:after="40"/>
      </w:pPr>
      <w:r>
        <w:rPr>
          <w:rFonts w:ascii="Calibri" w:hAnsi="Calibri"/>
          <w:b/>
          <w:color w:val="1D4ED8"/>
          <w:sz w:val="26"/>
        </w:rPr>
        <w:t>8.2 Release Readiness Checklist</w:t>
      </w:r>
    </w:p>
    <w:tbl>
      <w:tblPr>
        <w:tblStyle w:val="TableGrid"/>
        <w:tblW w:type="auto" w:w="0"/>
        <w:jc w:val="center"/>
        <w:tblLook w:firstColumn="1" w:firstRow="1" w:lastColumn="0" w:lastRow="0" w:noHBand="0" w:noVBand="1" w:val="04A0"/>
      </w:tblPr>
      <w:tblGrid>
        <w:gridCol w:w="2976"/>
        <w:gridCol w:w="2976"/>
        <w:gridCol w:w="2976"/>
      </w:tblGrid>
      <w:tr>
        <w:tc>
          <w:tcPr>
            <w:tcW w:type="dxa" w:w="3600"/>
            <w:shd w:val="clear" w:color="auto" w:fill="0F172A"/>
            <w:vAlign w:val="center"/>
          </w:tcPr>
          <w:p>
            <w:pPr>
              <w:jc w:val="center"/>
            </w:pPr>
            <w:r>
              <w:rPr>
                <w:b/>
                <w:color w:val="FFFFFF"/>
                <w:sz w:val="20"/>
              </w:rPr>
              <w:t>Check Item</w:t>
            </w:r>
          </w:p>
        </w:tc>
        <w:tc>
          <w:tcPr>
            <w:tcW w:type="dxa" w:w="4320"/>
            <w:shd w:val="clear" w:color="auto" w:fill="0F172A"/>
            <w:vAlign w:val="center"/>
          </w:tcPr>
          <w:p>
            <w:pPr>
              <w:jc w:val="center"/>
            </w:pPr>
            <w:r>
              <w:rPr>
                <w:b/>
                <w:color w:val="FFFFFF"/>
                <w:sz w:val="20"/>
              </w:rPr>
              <w:t>Target / Requirement</w:t>
            </w:r>
          </w:p>
        </w:tc>
        <w:tc>
          <w:tcPr>
            <w:tcW w:type="dxa" w:w="2160"/>
            <w:shd w:val="clear" w:color="auto" w:fill="0F172A"/>
            <w:vAlign w:val="center"/>
          </w:tcPr>
          <w:p>
            <w:pPr>
              <w:jc w:val="center"/>
            </w:pPr>
            <w:r>
              <w:rPr>
                <w:b/>
                <w:color w:val="FFFFFF"/>
                <w:sz w:val="20"/>
              </w:rPr>
              <w:t>Status</w:t>
            </w:r>
          </w:p>
        </w:tc>
      </w:tr>
      <w:tr>
        <w:tc>
          <w:tcPr>
            <w:tcW w:type="dxa" w:w="3600"/>
            <w:shd w:val="clear" w:color="auto" w:fill="F8FAFC"/>
          </w:tcPr>
          <w:p>
            <w:r>
              <w:rPr>
                <w:sz w:val="20"/>
              </w:rPr>
              <w:t>Code Coverage</w:t>
            </w:r>
          </w:p>
        </w:tc>
        <w:tc>
          <w:tcPr>
            <w:tcW w:type="dxa" w:w="4320"/>
            <w:shd w:val="clear" w:color="auto" w:fill="F8FAFC"/>
          </w:tcPr>
          <w:p>
            <w:r>
              <w:rPr>
                <w:sz w:val="20"/>
              </w:rPr>
              <w:t>Pass all 104 backend integration tests</w:t>
            </w:r>
          </w:p>
        </w:tc>
        <w:tc>
          <w:tcPr>
            <w:tcW w:type="dxa" w:w="2160"/>
            <w:shd w:val="clear" w:color="auto" w:fill="F8FAFC"/>
          </w:tcPr>
          <w:p>
            <w:r>
              <w:rPr>
                <w:sz w:val="20"/>
              </w:rPr>
              <w:t>✅ PASSED</w:t>
            </w:r>
          </w:p>
        </w:tc>
      </w:tr>
      <w:tr>
        <w:tc>
          <w:tcPr>
            <w:tcW w:type="dxa" w:w="3600"/>
            <w:shd w:val="clear" w:color="auto" w:fill="FFFFFF"/>
          </w:tcPr>
          <w:p>
            <w:r>
              <w:rPr>
                <w:sz w:val="20"/>
              </w:rPr>
              <w:t>Database Schema</w:t>
            </w:r>
          </w:p>
        </w:tc>
        <w:tc>
          <w:tcPr>
            <w:tcW w:type="dxa" w:w="4320"/>
            <w:shd w:val="clear" w:color="auto" w:fill="FFFFFF"/>
          </w:tcPr>
          <w:p>
            <w:r>
              <w:rPr>
                <w:sz w:val="20"/>
              </w:rPr>
              <w:t>Ensure v_customer_predictions view uses optimised CTE</w:t>
            </w:r>
          </w:p>
        </w:tc>
        <w:tc>
          <w:tcPr>
            <w:tcW w:type="dxa" w:w="2160"/>
            <w:shd w:val="clear" w:color="auto" w:fill="FFFFFF"/>
          </w:tcPr>
          <w:p>
            <w:r>
              <w:rPr>
                <w:sz w:val="20"/>
              </w:rPr>
              <w:t>✅ PASSED</w:t>
            </w:r>
          </w:p>
        </w:tc>
      </w:tr>
      <w:tr>
        <w:tc>
          <w:tcPr>
            <w:tcW w:type="dxa" w:w="3600"/>
            <w:shd w:val="clear" w:color="auto" w:fill="F8FAFC"/>
          </w:tcPr>
          <w:p>
            <w:r>
              <w:rPr>
                <w:sz w:val="20"/>
              </w:rPr>
              <w:t>Security Configuration</w:t>
            </w:r>
          </w:p>
        </w:tc>
        <w:tc>
          <w:tcPr>
            <w:tcW w:type="dxa" w:w="4320"/>
            <w:shd w:val="clear" w:color="auto" w:fill="F8FAFC"/>
          </w:tcPr>
          <w:p>
            <w:r>
              <w:rPr>
                <w:sz w:val="20"/>
              </w:rPr>
              <w:t>Password hashing active; secrets moved to env vars</w:t>
            </w:r>
          </w:p>
        </w:tc>
        <w:tc>
          <w:tcPr>
            <w:tcW w:type="dxa" w:w="2160"/>
            <w:shd w:val="clear" w:color="auto" w:fill="F8FAFC"/>
          </w:tcPr>
          <w:p>
            <w:r>
              <w:rPr>
                <w:sz w:val="20"/>
              </w:rPr>
              <w:t>✅ PASSED</w:t>
            </w:r>
          </w:p>
        </w:tc>
      </w:tr>
      <w:tr>
        <w:tc>
          <w:tcPr>
            <w:tcW w:type="dxa" w:w="3600"/>
            <w:shd w:val="clear" w:color="auto" w:fill="FFFFFF"/>
          </w:tcPr>
          <w:p>
            <w:r>
              <w:rPr>
                <w:sz w:val="20"/>
              </w:rPr>
              <w:t>Deployment Setup</w:t>
            </w:r>
          </w:p>
        </w:tc>
        <w:tc>
          <w:tcPr>
            <w:tcW w:type="dxa" w:w="4320"/>
            <w:shd w:val="clear" w:color="auto" w:fill="FFFFFF"/>
          </w:tcPr>
          <w:p>
            <w:r>
              <w:rPr>
                <w:sz w:val="20"/>
              </w:rPr>
              <w:t>Render blueprint (render.yaml) configured and tested</w:t>
            </w:r>
          </w:p>
        </w:tc>
        <w:tc>
          <w:tcPr>
            <w:tcW w:type="dxa" w:w="2160"/>
            <w:shd w:val="clear" w:color="auto" w:fill="FFFFFF"/>
          </w:tcPr>
          <w:p>
            <w:r>
              <w:rPr>
                <w:sz w:val="20"/>
              </w:rPr>
              <w:t>✅ PASSED</w:t>
            </w:r>
          </w:p>
        </w:tc>
      </w:tr>
      <w:tr>
        <w:tc>
          <w:tcPr>
            <w:tcW w:type="dxa" w:w="3600"/>
            <w:shd w:val="clear" w:color="auto" w:fill="F8FAFC"/>
          </w:tcPr>
          <w:p>
            <w:r>
              <w:rPr>
                <w:sz w:val="20"/>
              </w:rPr>
              <w:t>Documentation</w:t>
            </w:r>
          </w:p>
        </w:tc>
        <w:tc>
          <w:tcPr>
            <w:tcW w:type="dxa" w:w="4320"/>
            <w:shd w:val="clear" w:color="auto" w:fill="F8FAFC"/>
          </w:tcPr>
          <w:p>
            <w:r>
              <w:rPr>
                <w:sz w:val="20"/>
              </w:rPr>
              <w:t>Master Viva Handbook and MVP Plan generated</w:t>
            </w:r>
          </w:p>
        </w:tc>
        <w:tc>
          <w:tcPr>
            <w:tcW w:type="dxa" w:w="2160"/>
            <w:shd w:val="clear" w:color="auto" w:fill="F8FAFC"/>
          </w:tcPr>
          <w:p>
            <w:r>
              <w:rPr>
                <w:sz w:val="20"/>
              </w:rPr>
              <w:t>✅ PASSED</w:t>
            </w:r>
          </w:p>
        </w:tc>
      </w:tr>
    </w:tbl>
    <w:p/>
    <w:p>
      <w:r>
        <w:br w:type="page"/>
      </w:r>
    </w:p>
    <w:p/>
    <w:p>
      <w:pPr>
        <w:spacing w:after="80"/>
      </w:pPr>
      <w:r>
        <w:rPr>
          <w:rFonts w:ascii="Calibri Light" w:hAnsi="Calibri Light"/>
          <w:b/>
          <w:color w:val="0F172A"/>
          <w:sz w:val="36"/>
        </w:rPr>
        <w:t>9. Post-MVP Roadmap &amp; Future Enhancements</w:t>
      </w:r>
    </w:p>
    <w:p>
      <w:pPr>
        <w:spacing w:after="120" w:line="276" w:lineRule="auto"/>
      </w:pPr>
      <w:r>
        <w:rPr>
          <w:rFonts w:ascii="Calibri" w:hAnsi="Calibri"/>
          <w:color w:val="475569"/>
          <w:sz w:val="22"/>
        </w:rPr>
        <w:t>Following the successful launch of the MVP, the product backlog will be refined to address advanced operational features and scalability improvements.</w:t>
      </w:r>
    </w:p>
    <w:p>
      <w:pPr>
        <w:pStyle w:val="ListBullet"/>
        <w:spacing w:after="60"/>
        <w:ind w:left="360"/>
      </w:pPr>
      <w:r>
        <w:rPr>
          <w:rFonts w:ascii="Calibri" w:hAnsi="Calibri"/>
          <w:sz w:val="22"/>
        </w:rPr>
        <w:t>Phase 2: Automated Retraining — Implement scheduled weekly training runs to prevent model drift.</w:t>
      </w:r>
    </w:p>
    <w:p>
      <w:pPr>
        <w:pStyle w:val="ListBullet"/>
        <w:spacing w:after="60"/>
        <w:ind w:left="360"/>
      </w:pPr>
      <w:r>
        <w:rPr>
          <w:rFonts w:ascii="Calibri" w:hAnsi="Calibri"/>
          <w:sz w:val="22"/>
        </w:rPr>
        <w:t>Phase 2: Model Swapping UI — Allow administrators to upload new models and deploy them dynamically.</w:t>
      </w:r>
    </w:p>
    <w:p>
      <w:pPr>
        <w:pStyle w:val="ListBullet"/>
        <w:spacing w:after="60"/>
        <w:ind w:left="360"/>
      </w:pPr>
      <w:r>
        <w:rPr>
          <w:rFonts w:ascii="Calibri" w:hAnsi="Calibri"/>
          <w:sz w:val="22"/>
        </w:rPr>
        <w:t>Phase 3: PostgreSQL Migration — Switch the database backend to PostgreSQL to resolve write-lock limitations.</w:t>
      </w:r>
    </w:p>
    <w:p>
      <w:pPr>
        <w:pStyle w:val="ListBullet"/>
        <w:spacing w:after="60"/>
        <w:ind w:left="360"/>
      </w:pPr>
      <w:r>
        <w:rPr>
          <w:rFonts w:ascii="Calibri" w:hAnsi="Calibri"/>
          <w:sz w:val="22"/>
        </w:rPr>
        <w:t>Phase 3: CRM Integration — Connect directly to Salesforce or HubSpot APIs to sync customer profiles automatically.</w:t>
      </w:r>
    </w:p>
    <w:p>
      <w:pPr>
        <w:pStyle w:val="ListBullet"/>
        <w:spacing w:after="60"/>
        <w:ind w:left="360"/>
      </w:pPr>
      <w:r>
        <w:rPr>
          <w:rFonts w:ascii="Calibri" w:hAnsi="Calibri"/>
          <w:sz w:val="22"/>
        </w:rPr>
        <w:t>Phase 4: Proactive Alerts — Integrate Twilio/SendGrid to email agents when high-risk accounts are flagged.</w:t>
      </w:r>
    </w:p>
    <w:p/>
    <w:p/>
    <w:p>
      <w:pPr>
        <w:spacing w:after="80"/>
      </w:pPr>
      <w:r>
        <w:rPr>
          <w:rFonts w:ascii="Calibri Light" w:hAnsi="Calibri Light"/>
          <w:b/>
          <w:color w:val="0F172A"/>
          <w:sz w:val="36"/>
        </w:rPr>
        <w:t>10. Lessons Learned &amp; Retrospective Notes</w:t>
      </w:r>
    </w:p>
    <w:p>
      <w:pPr>
        <w:spacing w:before="200" w:after="40"/>
      </w:pPr>
      <w:r>
        <w:rPr>
          <w:rFonts w:ascii="Calibri" w:hAnsi="Calibri"/>
          <w:b/>
          <w:color w:val="1D4ED8"/>
          <w:sz w:val="26"/>
        </w:rPr>
        <w:t>10.1 Key Technical Lessons</w:t>
      </w:r>
    </w:p>
    <w:p>
      <w:pPr>
        <w:pStyle w:val="ListBullet"/>
        <w:spacing w:after="60"/>
        <w:ind w:left="360"/>
      </w:pPr>
      <w:r>
        <w:rPr>
          <w:rFonts w:ascii="Calibri" w:hAnsi="Calibri"/>
          <w:sz w:val="22"/>
        </w:rPr>
        <w:t>Address Database Performance Early: SQLite is fine for development, but parallel queries require careful query tuning.</w:t>
      </w:r>
    </w:p>
    <w:p>
      <w:pPr>
        <w:pStyle w:val="ListBullet"/>
        <w:spacing w:after="60"/>
        <w:ind w:left="360"/>
      </w:pPr>
      <w:r>
        <w:rPr>
          <w:rFonts w:ascii="Calibri" w:hAnsi="Calibri"/>
          <w:sz w:val="22"/>
        </w:rPr>
        <w:t>Keep Models Generalisable: Perfect training accuracy (1.0) is usually a sign of leakage, not a perfect model.</w:t>
      </w:r>
    </w:p>
    <w:p>
      <w:pPr>
        <w:pStyle w:val="ListBullet"/>
        <w:spacing w:after="60"/>
        <w:ind w:left="360"/>
      </w:pPr>
      <w:r>
        <w:rPr>
          <w:rFonts w:ascii="Calibri" w:hAnsi="Calibri"/>
          <w:sz w:val="22"/>
        </w:rPr>
        <w:t>Isolate Experimental Data: Separating bulk uploads from production customers prevents KPI corruption.</w:t>
      </w:r>
    </w:p>
    <w:p>
      <w:pPr>
        <w:spacing w:before="200" w:after="40"/>
      </w:pPr>
      <w:r>
        <w:rPr>
          <w:rFonts w:ascii="Calibri" w:hAnsi="Calibri"/>
          <w:b/>
          <w:color w:val="1D4ED8"/>
          <w:sz w:val="26"/>
        </w:rPr>
        <w:t>10.2 Process &amp; Team Lessons</w:t>
      </w:r>
    </w:p>
    <w:p>
      <w:pPr>
        <w:pStyle w:val="ListBullet"/>
        <w:spacing w:after="60"/>
        <w:ind w:left="360"/>
      </w:pPr>
      <w:r>
        <w:rPr>
          <w:rFonts w:ascii="Calibri" w:hAnsi="Calibri"/>
          <w:sz w:val="22"/>
        </w:rPr>
        <w:t>Automate Testing: Having 104 integration tests allowed the team to optimize queries in Sprint 5 with confidence.</w:t>
      </w:r>
    </w:p>
    <w:p>
      <w:pPr>
        <w:pStyle w:val="ListBullet"/>
        <w:spacing w:after="60"/>
        <w:ind w:left="360"/>
      </w:pPr>
      <w:r>
        <w:rPr>
          <w:rFonts w:ascii="Calibri" w:hAnsi="Calibri"/>
          <w:sz w:val="22"/>
        </w:rPr>
        <w:t>Define Clear Acceptance Criteria: Clear definitions of done kept sprints focused and prevented scope creep.</w:t>
      </w:r>
    </w:p>
    <w:p/>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7556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