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Business Owner Executive Briefing: Medical Healthcare Research AI Assistant MVP Strategy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Project: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Medical Healthcare Research AI Assistant Using Retrieval-Augmented Generation (RAG) and Large Language Models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Prepared for: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Business Ownership &amp; Stakeholders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Status Report Date: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July 2026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Executive Summary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This executive briefing document translates technical milestone logs into a business-centric project overview for the Medical Healthcare Research AI Assistant. Adhering to an Agile Scrum development framework, the engineering team (Team-4) delivers incremental, working Minimum Viable Product (MVP) structures across planned sequential phases. By combining advanced Retrieval-Augmented Generation (RAG) with state-of-the-art Large Language Models, this tool aims to provide medical researchers with secure, context-aware, and peer-reviewed answer synthesis mapped directly to verified data sources.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Strategic Project Timeline &amp; Roadmap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The operational layout spans five strategically divided sprints, balancing rapid deployment with systematic quality assurance to achieve a production-ready application:</w:t>
      </w:r>
    </w:p>
    <w:tbl>
      <w:tblPr>
        <w:tblStyle w:val="Table1"/>
        <w:tblW w:w="9360.0" w:type="dxa"/>
        <w:jc w:val="left"/>
        <w:tblBorders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insideH w:color="e2e8f0" w:space="0" w:sz="6" w:val="single"/>
          <w:insideV w:color="e2e8f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2c528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5282"/>
                <w:shd w:fill="auto" w:val="clear"/>
                <w:rtl w:val="0"/>
              </w:rPr>
              <w:t xml:space="preserve">Sprint</w:t>
            </w:r>
          </w:p>
        </w:tc>
        <w:tc>
          <w:tcPr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2c528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5282"/>
                <w:shd w:fill="auto" w:val="clear"/>
                <w:rtl w:val="0"/>
              </w:rPr>
              <w:t xml:space="preserve">Strategic Business Theme</w:t>
            </w:r>
          </w:p>
        </w:tc>
        <w:tc>
          <w:tcPr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2c528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5282"/>
                <w:shd w:fill="auto" w:val="clear"/>
                <w:rtl w:val="0"/>
              </w:rPr>
              <w:t xml:space="preserve">Target Duration</w:t>
            </w:r>
          </w:p>
        </w:tc>
        <w:tc>
          <w:tcPr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2c528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5282"/>
                <w:shd w:fill="auto" w:val="clear"/>
                <w:rtl w:val="0"/>
              </w:rPr>
              <w:t xml:space="preserve">Operational Lifecycle Status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1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Foundation &amp; Planning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 Days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38a16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8a169"/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Sprint 2</w:t>
            </w:r>
          </w:p>
        </w:tc>
        <w:tc>
          <w:tcPr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Knowledge Retrieval Engine</w:t>
            </w:r>
          </w:p>
        </w:tc>
        <w:tc>
          <w:tcPr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2 Days</w:t>
            </w:r>
          </w:p>
        </w:tc>
        <w:tc>
          <w:tcPr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38a169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8a169"/>
                <w:shd w:fill="auto" w:val="clear"/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3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AI Intelligence Engine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 Days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38a16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8a169"/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Sprint 4</w:t>
            </w:r>
          </w:p>
        </w:tc>
        <w:tc>
          <w:tcPr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User Experience &amp; Cloud Integration</w:t>
            </w:r>
          </w:p>
        </w:tc>
        <w:tc>
          <w:tcPr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4 Days</w:t>
            </w:r>
          </w:p>
        </w:tc>
        <w:tc>
          <w:tcPr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dd6b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d6b20"/>
                <w:shd w:fill="auto" w:val="clear"/>
                <w:rtl w:val="0"/>
              </w:rPr>
              <w:t xml:space="preserve">In Progress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5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Quality Assurance &amp; Production Release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Days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4a5568"/>
              </w:rPr>
            </w:pPr>
            <w:r w:rsidDel="00000000" w:rsidR="00000000" w:rsidRPr="00000000">
              <w:rPr>
                <w:rFonts w:ascii="Arial" w:cs="Arial" w:eastAsia="Arial" w:hAnsi="Arial"/>
                <w:color w:val="4a5568"/>
                <w:rtl w:val="0"/>
              </w:rPr>
              <w:t xml:space="preserve">Planned</w:t>
            </w:r>
          </w:p>
        </w:tc>
      </w:tr>
    </w:tbl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rPr>
          <w:rFonts w:ascii="Arial" w:cs="Arial" w:eastAsia="Arial" w:hAnsi="Arial"/>
          <w:color w:val="4a556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Historical Development Breakthroughs &amp; Achieved MVPs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4a5568"/>
        </w:rPr>
      </w:pPr>
      <w:r w:rsidDel="00000000" w:rsidR="00000000" w:rsidRPr="00000000">
        <w:rPr>
          <w:rFonts w:ascii="Arial" w:cs="Arial" w:eastAsia="Arial" w:hAnsi="Arial"/>
          <w:color w:val="4a5568"/>
          <w:rtl w:val="0"/>
        </w:rPr>
        <w:t xml:space="preserve">Phase 1: Foundation Setup &amp; Asset Mapping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The primary objective was to initialize environment architectures, </w:t>
      </w:r>
      <w:r w:rsidDel="00000000" w:rsidR="00000000" w:rsidRPr="00000000">
        <w:rPr>
          <w:color w:val="333333"/>
          <w:rtl w:val="0"/>
        </w:rPr>
        <w:t xml:space="preserve">set up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repositories, and map basic datasets. Core deliverables included architectural diagrams, comprehensive requirements analysis, Git version control mapping, and staging medical document libraries. This phase established a robust, compliant infrastructure for backend data processing.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4a5568"/>
        </w:rPr>
      </w:pPr>
      <w:r w:rsidDel="00000000" w:rsidR="00000000" w:rsidRPr="00000000">
        <w:rPr>
          <w:rFonts w:ascii="Arial" w:cs="Arial" w:eastAsia="Arial" w:hAnsi="Arial"/>
          <w:color w:val="4a5568"/>
          <w:rtl w:val="0"/>
        </w:rPr>
        <w:t xml:space="preserve">Phase 2: Data Extraction &amp; Hybrid Knowledge Retrieval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This phase engineered the underlying information retrieval pipeline responsible for parsing scientific documentation. Notable technical accomplishments include: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Document Parsing &amp; Intelligent Chunking: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Segmenting extensive research files into contextual text blocks.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Vector Database Deployment: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Configuring ChromaDB to index high-dimensional text embeddings for fast semantic lookup.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Hybrid Search Mechanics: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Pairing modern Dense Retrieval models with traditional BM25 keyword match algorithms. This structure allows the system to surface deep semantic ideas as well as explicit phrases.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4a5568"/>
        </w:rPr>
      </w:pPr>
      <w:r w:rsidDel="00000000" w:rsidR="00000000" w:rsidRPr="00000000">
        <w:rPr>
          <w:rFonts w:ascii="Arial" w:cs="Arial" w:eastAsia="Arial" w:hAnsi="Arial"/>
          <w:color w:val="4a5568"/>
          <w:rtl w:val="0"/>
        </w:rPr>
        <w:t xml:space="preserve">Phase 3: LLM Integration &amp; End-to-End Core Workflow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During this cycle, the application transitioned into an operational solution by embedding advanced AI intelligence. Highlights include: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Google Gemini Engine Integration: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Leveraging leading generative AI models to build comprehensive, conversational summaries.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Prompt Engineering Frameworks: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Restricting the model's domain knowledge exclusively to the boundaries of the retrieved research documents.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Verification Mechanics: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Validating citations automatically to match the source text, delivering an end-to-end user pipeline where researchers upload PDFs and receive context-rich, cited answers.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Current Development Operations (Sprint 4)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Development is focused on enhancing usability, refining user interfaces, and preparing cloud orchestration systems. Sprint 4 stands at approximately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50% completion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:</w:t>
      </w:r>
    </w:p>
    <w:tbl>
      <w:tblPr>
        <w:tblStyle w:val="Table2"/>
        <w:tblW w:w="9360.0" w:type="dxa"/>
        <w:jc w:val="left"/>
        <w:tblBorders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insideH w:color="e2e8f0" w:space="0" w:sz="6" w:val="single"/>
          <w:insideV w:color="e2e8f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2c528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5282"/>
                <w:shd w:fill="auto" w:val="clear"/>
                <w:rtl w:val="0"/>
              </w:rPr>
              <w:t xml:space="preserve">Application Module</w:t>
            </w:r>
          </w:p>
        </w:tc>
        <w:tc>
          <w:tcPr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2c528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5282"/>
                <w:shd w:fill="auto" w:val="clear"/>
                <w:rtl w:val="0"/>
              </w:rPr>
              <w:t xml:space="preserve">Business &amp; Operational Value</w:t>
            </w:r>
          </w:p>
        </w:tc>
        <w:tc>
          <w:tcPr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2c528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5282"/>
                <w:shd w:fill="auto" w:val="clear"/>
                <w:rtl w:val="0"/>
              </w:rPr>
              <w:t xml:space="preserve">Lifecycle Status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Core UI Interfaces (Upload, Chat, Search)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Provides a clean frontend interface for document management, exploration, and querying.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38a16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8a169"/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API Gateway Integration</w:t>
            </w:r>
          </w:p>
        </w:tc>
        <w:tc>
          <w:tcPr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Connects user interfaces with the underlying RAG pipeline for secure, real-time communication.</w:t>
            </w:r>
          </w:p>
        </w:tc>
        <w:tc>
          <w:tcPr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38a169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8a169"/>
                <w:shd w:fill="auto" w:val="clear"/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Railway Cloud Deployment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Establishes cloud hosting and distributed database networks to support institutional scalability.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dd6b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d6b20"/>
                <w:rtl w:val="0"/>
              </w:rPr>
              <w:t xml:space="preserve">In Progress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Source Citation UX Display</w:t>
            </w:r>
          </w:p>
        </w:tc>
        <w:tc>
          <w:tcPr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Enhances clarity by highlighting text matches alongside generated responses.</w:t>
            </w:r>
          </w:p>
        </w:tc>
        <w:tc>
          <w:tcPr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dd6b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d6b20"/>
                <w:shd w:fill="auto" w:val="clear"/>
                <w:rtl w:val="0"/>
              </w:rPr>
              <w:t xml:space="preserve">In Progress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Persistent Chat History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Tracks analytical sessions over time to streamline research workflows.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dd6b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d6b20"/>
                <w:rtl w:val="0"/>
              </w:rPr>
              <w:t xml:space="preserve">In Progress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End-to-End System Testing</w:t>
            </w:r>
          </w:p>
        </w:tc>
        <w:tc>
          <w:tcPr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Validates software layers under multi-user loads ahead of production deployment.</w:t>
            </w:r>
          </w:p>
        </w:tc>
        <w:tc>
          <w:tcPr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dd6b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d6b20"/>
                <w:shd w:fill="auto" w:val="clear"/>
                <w:rtl w:val="0"/>
              </w:rPr>
              <w:t xml:space="preserve">In Progress</w:t>
            </w:r>
          </w:p>
        </w:tc>
      </w:tr>
    </w:tbl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rPr>
          <w:rFonts w:ascii="Arial" w:cs="Arial" w:eastAsia="Arial" w:hAnsi="Arial"/>
          <w:b w:val="1"/>
          <w:bCs w:val="1"/>
          <w:color w:val="dd6b20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Risk Mitigation &amp; Production Release Protocols (Sprint 5)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The upcoming final sprint focuses entirely on stabilization, risk mitigation, and enterprise readiness. It includes: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Comprehensive Evaluation Frameworks: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Assessing knowledge retrieval accuracy against gold-standard clinical research benchmarks.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Rigorous Citation &amp; Hallucination Audits: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Running automated validation checks to ensure all generated insights strictly align with source text evidence.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Containerized Enterprise Deployment: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Packaging the complete solution into Docker containers to support seamless, cloud-agnostic cross-platform orchestration.</w:t>
      </w:r>
    </w:p>
    <w:p w:rsidR="00000000" w:rsidDel="00000000" w:rsidP="00000000" w:rsidRDefault="00000000" w:rsidRPr="00000000" w14:paraId="0000004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The Strategic MVP Vision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The ultimate vision delivers a highly secure, reliable, and enterprise-scalable Medical Research AI Assistant. It empowers healthcare organizations to instantly extract insights from scientific literature, query complex documents via natural language, and verify claims with clear source citations through a modern web interface.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