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D02E9" w14:textId="77777777" w:rsidR="007E5053" w:rsidRPr="002F379B" w:rsidRDefault="00000000" w:rsidP="002F379B">
      <w:pPr>
        <w:pStyle w:val="Title"/>
        <w:rPr>
          <w:rFonts w:eastAsia="Calibri"/>
          <w:sz w:val="44"/>
          <w:szCs w:val="44"/>
        </w:rPr>
      </w:pPr>
      <w:r w:rsidRPr="002F379B">
        <w:rPr>
          <w:rFonts w:eastAsia="Calibri"/>
          <w:sz w:val="44"/>
          <w:szCs w:val="44"/>
        </w:rPr>
        <w:t>TEST-DRIVEN DEVELOPMENT (TDD)</w:t>
      </w:r>
    </w:p>
    <w:p w14:paraId="0C423A68" w14:textId="77777777" w:rsidR="002F379B" w:rsidRDefault="002F379B" w:rsidP="002F379B">
      <w:pPr>
        <w:pStyle w:val="Title"/>
      </w:pPr>
    </w:p>
    <w:p w14:paraId="71EA8B4C" w14:textId="77777777" w:rsidR="002F379B" w:rsidRDefault="00000000" w:rsidP="002F379B">
      <w:pPr>
        <w:pStyle w:val="Strong1"/>
        <w:rPr>
          <w:rFonts w:eastAsia="Calibri"/>
        </w:rPr>
      </w:pPr>
      <w:r>
        <w:rPr>
          <w:rFonts w:eastAsia="Calibri"/>
        </w:rPr>
        <w:t>What Is TDD?</w:t>
      </w:r>
    </w:p>
    <w:p w14:paraId="71B86FE8" w14:textId="77777777" w:rsidR="002F379B" w:rsidRDefault="00000000" w:rsidP="002F379B">
      <w:pPr>
        <w:pStyle w:val="Heading1"/>
        <w:pBdr>
          <w:bottom w:val="single" w:sz="6" w:space="4" w:color="2E74B5"/>
        </w:pBdr>
        <w:spacing w:before="260" w:after="120"/>
        <w:rPr>
          <w:rFonts w:ascii="Calibri" w:eastAsia="Calibri" w:hAnsi="Calibri" w:cs="Calibri"/>
          <w:color w:val="222222"/>
          <w:sz w:val="21"/>
          <w:szCs w:val="21"/>
        </w:rPr>
      </w:pPr>
      <w:r>
        <w:rPr>
          <w:rFonts w:ascii="Calibri" w:eastAsia="Calibri" w:hAnsi="Calibri" w:cs="Calibri"/>
          <w:color w:val="222222"/>
          <w:sz w:val="21"/>
          <w:szCs w:val="21"/>
        </w:rPr>
        <w:t>Test-Driven Development flips the usual order of building software. Instead of writing the code first and testing it afterward, you write the test first — before the feature even exists. That test fails, obviously, because there's nothing to pass it yet. Then you write the smallest amount of code needed to make it pass. Once it passes, you clean the code up a little, knowing the test will catch you if you break anything. Then you move to the next small piece. People usually call this the Red-Green-Refactor cycle: red for the failing test, green for making it pass, refactor for the cleanup.</w:t>
      </w:r>
    </w:p>
    <w:p w14:paraId="1B325ED8" w14:textId="0B3E57BC" w:rsidR="002F379B" w:rsidRPr="002F379B" w:rsidRDefault="00000000" w:rsidP="002F379B">
      <w:pPr>
        <w:pStyle w:val="Strong1"/>
      </w:pPr>
      <w:r>
        <w:rPr>
          <w:rFonts w:eastAsia="Calibri"/>
        </w:rPr>
        <w:t>How We Implemented It in This Project</w:t>
      </w:r>
    </w:p>
    <w:p w14:paraId="2FEB5FEE" w14:textId="613DCEC6" w:rsidR="007E5053" w:rsidRDefault="00000000" w:rsidP="002F379B">
      <w:pPr>
        <w:pStyle w:val="Heading1"/>
        <w:pBdr>
          <w:bottom w:val="single" w:sz="6" w:space="4" w:color="2E74B5"/>
        </w:pBdr>
        <w:spacing w:before="260" w:after="120"/>
      </w:pPr>
      <w:r>
        <w:rPr>
          <w:rFonts w:ascii="Calibri" w:eastAsia="Calibri" w:hAnsi="Calibri" w:cs="Calibri"/>
          <w:color w:val="222222"/>
          <w:sz w:val="21"/>
          <w:szCs w:val="21"/>
        </w:rPr>
        <w:t>For the ML Prediction &amp; Explainability Engine, the engineering team didn't write the model and API first and test it as an afterthought. Every core function — cleaning the data, training the model, generating a prediction, explaining that prediction — had its test scenario written first, then the code was built to satisfy it.</w:t>
      </w:r>
    </w:p>
    <w:tbl>
      <w:tblPr>
        <w:tblStyle w:val="TableGrid"/>
        <w:tblW w:w="9350" w:type="dxa"/>
        <w:tblLook w:val="04A0" w:firstRow="1" w:lastRow="0" w:firstColumn="1" w:lastColumn="0" w:noHBand="0" w:noVBand="1"/>
      </w:tblPr>
      <w:tblGrid>
        <w:gridCol w:w="2200"/>
        <w:gridCol w:w="3550"/>
        <w:gridCol w:w="3600"/>
      </w:tblGrid>
      <w:tr w:rsidR="007E5053" w14:paraId="3421614C" w14:textId="77777777" w:rsidTr="002F379B">
        <w:tc>
          <w:tcPr>
            <w:tcW w:w="2200" w:type="dxa"/>
          </w:tcPr>
          <w:p w14:paraId="0DFABE4B" w14:textId="77777777" w:rsidR="007E5053" w:rsidRDefault="00000000">
            <w:r>
              <w:rPr>
                <w:rFonts w:ascii="Calibri" w:eastAsia="Calibri" w:hAnsi="Calibri" w:cs="Calibri"/>
                <w:b/>
                <w:bCs/>
                <w:color w:val="222222"/>
                <w:sz w:val="19"/>
                <w:szCs w:val="19"/>
              </w:rPr>
              <w:t>1. Red</w:t>
            </w:r>
          </w:p>
        </w:tc>
        <w:tc>
          <w:tcPr>
            <w:tcW w:w="3550" w:type="dxa"/>
          </w:tcPr>
          <w:p w14:paraId="6762EFC0" w14:textId="77777777" w:rsidR="007E5053" w:rsidRDefault="00000000">
            <w:r>
              <w:rPr>
                <w:rFonts w:ascii="Calibri" w:eastAsia="Calibri" w:hAnsi="Calibri" w:cs="Calibri"/>
                <w:color w:val="222222"/>
                <w:sz w:val="19"/>
                <w:szCs w:val="19"/>
              </w:rPr>
              <w:t>Write a test for something that doesn't exist yet. It fails — that's expected.</w:t>
            </w:r>
          </w:p>
        </w:tc>
        <w:tc>
          <w:tcPr>
            <w:tcW w:w="3600" w:type="dxa"/>
          </w:tcPr>
          <w:p w14:paraId="599494E8" w14:textId="77777777" w:rsidR="007E5053" w:rsidRDefault="00000000">
            <w:r>
              <w:rPr>
                <w:rFonts w:ascii="Calibri" w:eastAsia="Calibri" w:hAnsi="Calibri" w:cs="Calibri"/>
                <w:color w:val="222222"/>
                <w:sz w:val="19"/>
                <w:szCs w:val="19"/>
              </w:rPr>
              <w:t xml:space="preserve">Wrote TS-ML-01 to TS-ML-04 before </w:t>
            </w:r>
            <w:proofErr w:type="spellStart"/>
            <w:r>
              <w:rPr>
                <w:rFonts w:ascii="Calibri" w:eastAsia="Calibri" w:hAnsi="Calibri" w:cs="Calibri"/>
                <w:color w:val="222222"/>
                <w:sz w:val="19"/>
                <w:szCs w:val="19"/>
              </w:rPr>
              <w:t>preprocess_</w:t>
            </w:r>
            <w:proofErr w:type="gramStart"/>
            <w:r>
              <w:rPr>
                <w:rFonts w:ascii="Calibri" w:eastAsia="Calibri" w:hAnsi="Calibri" w:cs="Calibri"/>
                <w:color w:val="222222"/>
                <w:sz w:val="19"/>
                <w:szCs w:val="19"/>
              </w:rPr>
              <w:t>features</w:t>
            </w:r>
            <w:proofErr w:type="spellEnd"/>
            <w:r>
              <w:rPr>
                <w:rFonts w:ascii="Calibri" w:eastAsia="Calibri" w:hAnsi="Calibri" w:cs="Calibri"/>
                <w:color w:val="222222"/>
                <w:sz w:val="19"/>
                <w:szCs w:val="19"/>
              </w:rPr>
              <w:t>(</w:t>
            </w:r>
            <w:proofErr w:type="gram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train_attrition_</w:t>
            </w:r>
            <w:proofErr w:type="gramStart"/>
            <w:r>
              <w:rPr>
                <w:rFonts w:ascii="Calibri" w:eastAsia="Calibri" w:hAnsi="Calibri" w:cs="Calibri"/>
                <w:color w:val="222222"/>
                <w:sz w:val="19"/>
                <w:szCs w:val="19"/>
              </w:rPr>
              <w:t>models</w:t>
            </w:r>
            <w:proofErr w:type="spellEnd"/>
            <w:r>
              <w:rPr>
                <w:rFonts w:ascii="Calibri" w:eastAsia="Calibri" w:hAnsi="Calibri" w:cs="Calibri"/>
                <w:color w:val="222222"/>
                <w:sz w:val="19"/>
                <w:szCs w:val="19"/>
              </w:rPr>
              <w:t>(</w:t>
            </w:r>
            <w:proofErr w:type="gram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predict_</w:t>
            </w:r>
            <w:proofErr w:type="gramStart"/>
            <w:r>
              <w:rPr>
                <w:rFonts w:ascii="Calibri" w:eastAsia="Calibri" w:hAnsi="Calibri" w:cs="Calibri"/>
                <w:color w:val="222222"/>
                <w:sz w:val="19"/>
                <w:szCs w:val="19"/>
              </w:rPr>
              <w:t>attrition</w:t>
            </w:r>
            <w:proofErr w:type="spellEnd"/>
            <w:r>
              <w:rPr>
                <w:rFonts w:ascii="Calibri" w:eastAsia="Calibri" w:hAnsi="Calibri" w:cs="Calibri"/>
                <w:color w:val="222222"/>
                <w:sz w:val="19"/>
                <w:szCs w:val="19"/>
              </w:rPr>
              <w:t>(</w:t>
            </w:r>
            <w:proofErr w:type="gramEnd"/>
            <w:r>
              <w:rPr>
                <w:rFonts w:ascii="Calibri" w:eastAsia="Calibri" w:hAnsi="Calibri" w:cs="Calibri"/>
                <w:color w:val="222222"/>
                <w:sz w:val="19"/>
                <w:szCs w:val="19"/>
              </w:rPr>
              <w:t xml:space="preserve">), and </w:t>
            </w:r>
            <w:proofErr w:type="spellStart"/>
            <w:r>
              <w:rPr>
                <w:rFonts w:ascii="Calibri" w:eastAsia="Calibri" w:hAnsi="Calibri" w:cs="Calibri"/>
                <w:color w:val="222222"/>
                <w:sz w:val="19"/>
                <w:szCs w:val="19"/>
              </w:rPr>
              <w:t>get_shap_</w:t>
            </w:r>
            <w:proofErr w:type="gramStart"/>
            <w:r>
              <w:rPr>
                <w:rFonts w:ascii="Calibri" w:eastAsia="Calibri" w:hAnsi="Calibri" w:cs="Calibri"/>
                <w:color w:val="222222"/>
                <w:sz w:val="19"/>
                <w:szCs w:val="19"/>
              </w:rPr>
              <w:t>explanation</w:t>
            </w:r>
            <w:proofErr w:type="spellEnd"/>
            <w:r>
              <w:rPr>
                <w:rFonts w:ascii="Calibri" w:eastAsia="Calibri" w:hAnsi="Calibri" w:cs="Calibri"/>
                <w:color w:val="222222"/>
                <w:sz w:val="19"/>
                <w:szCs w:val="19"/>
              </w:rPr>
              <w:t>(</w:t>
            </w:r>
            <w:proofErr w:type="gramEnd"/>
            <w:r>
              <w:rPr>
                <w:rFonts w:ascii="Calibri" w:eastAsia="Calibri" w:hAnsi="Calibri" w:cs="Calibri"/>
                <w:color w:val="222222"/>
                <w:sz w:val="19"/>
                <w:szCs w:val="19"/>
              </w:rPr>
              <w:t>) were built.</w:t>
            </w:r>
          </w:p>
        </w:tc>
      </w:tr>
      <w:tr w:rsidR="007E5053" w14:paraId="108C61C4" w14:textId="77777777" w:rsidTr="002F379B">
        <w:tc>
          <w:tcPr>
            <w:tcW w:w="2200" w:type="dxa"/>
          </w:tcPr>
          <w:p w14:paraId="7F9E725A" w14:textId="77777777" w:rsidR="007E5053" w:rsidRDefault="00000000">
            <w:r>
              <w:rPr>
                <w:rFonts w:ascii="Calibri" w:eastAsia="Calibri" w:hAnsi="Calibri" w:cs="Calibri"/>
                <w:b/>
                <w:bCs/>
                <w:color w:val="222222"/>
                <w:sz w:val="19"/>
                <w:szCs w:val="19"/>
              </w:rPr>
              <w:t>2. Green</w:t>
            </w:r>
          </w:p>
        </w:tc>
        <w:tc>
          <w:tcPr>
            <w:tcW w:w="3550" w:type="dxa"/>
          </w:tcPr>
          <w:p w14:paraId="7C95ED6A" w14:textId="77777777" w:rsidR="007E5053" w:rsidRDefault="00000000">
            <w:r>
              <w:rPr>
                <w:rFonts w:ascii="Calibri" w:eastAsia="Calibri" w:hAnsi="Calibri" w:cs="Calibri"/>
                <w:color w:val="222222"/>
                <w:sz w:val="19"/>
                <w:szCs w:val="19"/>
              </w:rPr>
              <w:t>Write just enough code to make that test pass. Nothing extra.</w:t>
            </w:r>
          </w:p>
        </w:tc>
        <w:tc>
          <w:tcPr>
            <w:tcW w:w="3600" w:type="dxa"/>
          </w:tcPr>
          <w:p w14:paraId="1EC1EC21" w14:textId="77777777" w:rsidR="007E5053" w:rsidRDefault="00000000">
            <w:r>
              <w:rPr>
                <w:rFonts w:ascii="Calibri" w:eastAsia="Calibri" w:hAnsi="Calibri" w:cs="Calibri"/>
                <w:color w:val="222222"/>
                <w:sz w:val="19"/>
                <w:szCs w:val="19"/>
              </w:rPr>
              <w:t xml:space="preserve">Built each function to satisfy its test scenario — e.g. </w:t>
            </w:r>
            <w:proofErr w:type="spellStart"/>
            <w:r>
              <w:rPr>
                <w:rFonts w:ascii="Calibri" w:eastAsia="Calibri" w:hAnsi="Calibri" w:cs="Calibri"/>
                <w:color w:val="222222"/>
                <w:sz w:val="19"/>
                <w:szCs w:val="19"/>
              </w:rPr>
              <w:t>predict_</w:t>
            </w:r>
            <w:proofErr w:type="gramStart"/>
            <w:r>
              <w:rPr>
                <w:rFonts w:ascii="Calibri" w:eastAsia="Calibri" w:hAnsi="Calibri" w:cs="Calibri"/>
                <w:color w:val="222222"/>
                <w:sz w:val="19"/>
                <w:szCs w:val="19"/>
              </w:rPr>
              <w:t>attrition</w:t>
            </w:r>
            <w:proofErr w:type="spellEnd"/>
            <w:r>
              <w:rPr>
                <w:rFonts w:ascii="Calibri" w:eastAsia="Calibri" w:hAnsi="Calibri" w:cs="Calibri"/>
                <w:color w:val="222222"/>
                <w:sz w:val="19"/>
                <w:szCs w:val="19"/>
              </w:rPr>
              <w:t>(</w:t>
            </w:r>
            <w:proofErr w:type="gramEnd"/>
            <w:r>
              <w:rPr>
                <w:rFonts w:ascii="Calibri" w:eastAsia="Calibri" w:hAnsi="Calibri" w:cs="Calibri"/>
                <w:color w:val="222222"/>
                <w:sz w:val="19"/>
                <w:szCs w:val="19"/>
              </w:rPr>
              <w:t>) only needed to return a probability, flag, and risk band.</w:t>
            </w:r>
          </w:p>
        </w:tc>
      </w:tr>
      <w:tr w:rsidR="007E5053" w14:paraId="4B0CFF32" w14:textId="77777777" w:rsidTr="002F379B">
        <w:tc>
          <w:tcPr>
            <w:tcW w:w="2200" w:type="dxa"/>
          </w:tcPr>
          <w:p w14:paraId="748F6362" w14:textId="77777777" w:rsidR="007E5053" w:rsidRDefault="00000000">
            <w:r>
              <w:rPr>
                <w:rFonts w:ascii="Calibri" w:eastAsia="Calibri" w:hAnsi="Calibri" w:cs="Calibri"/>
                <w:b/>
                <w:bCs/>
                <w:color w:val="222222"/>
                <w:sz w:val="19"/>
                <w:szCs w:val="19"/>
              </w:rPr>
              <w:t>3. Refactor</w:t>
            </w:r>
          </w:p>
        </w:tc>
        <w:tc>
          <w:tcPr>
            <w:tcW w:w="3550" w:type="dxa"/>
          </w:tcPr>
          <w:p w14:paraId="3BE495DF" w14:textId="77777777" w:rsidR="007E5053" w:rsidRDefault="00000000">
            <w:r>
              <w:rPr>
                <w:rFonts w:ascii="Calibri" w:eastAsia="Calibri" w:hAnsi="Calibri" w:cs="Calibri"/>
                <w:color w:val="222222"/>
                <w:sz w:val="19"/>
                <w:szCs w:val="19"/>
              </w:rPr>
              <w:t>Clean up the code now that a safety net (the test) exists.</w:t>
            </w:r>
          </w:p>
        </w:tc>
        <w:tc>
          <w:tcPr>
            <w:tcW w:w="3600" w:type="dxa"/>
          </w:tcPr>
          <w:p w14:paraId="4B565BCF" w14:textId="77777777" w:rsidR="007E5053" w:rsidRDefault="00000000">
            <w:r>
              <w:rPr>
                <w:rFonts w:ascii="Calibri" w:eastAsia="Calibri" w:hAnsi="Calibri" w:cs="Calibri"/>
                <w:color w:val="222222"/>
                <w:sz w:val="19"/>
                <w:szCs w:val="19"/>
              </w:rPr>
              <w:t>Tidied up preprocessing and model code once tests confirmed nothing broke in the process.</w:t>
            </w:r>
          </w:p>
        </w:tc>
      </w:tr>
      <w:tr w:rsidR="007E5053" w14:paraId="3DC9525D" w14:textId="77777777" w:rsidTr="002F379B">
        <w:tc>
          <w:tcPr>
            <w:tcW w:w="2200" w:type="dxa"/>
          </w:tcPr>
          <w:p w14:paraId="4CA709B0" w14:textId="77777777" w:rsidR="007E5053" w:rsidRDefault="00000000">
            <w:r>
              <w:rPr>
                <w:rFonts w:ascii="Calibri" w:eastAsia="Calibri" w:hAnsi="Calibri" w:cs="Calibri"/>
                <w:b/>
                <w:bCs/>
                <w:color w:val="222222"/>
                <w:sz w:val="19"/>
                <w:szCs w:val="19"/>
              </w:rPr>
              <w:t>Repeat</w:t>
            </w:r>
          </w:p>
        </w:tc>
        <w:tc>
          <w:tcPr>
            <w:tcW w:w="3550" w:type="dxa"/>
          </w:tcPr>
          <w:p w14:paraId="3F2B8DB0" w14:textId="77777777" w:rsidR="007E5053" w:rsidRDefault="00000000">
            <w:r>
              <w:rPr>
                <w:rFonts w:ascii="Calibri" w:eastAsia="Calibri" w:hAnsi="Calibri" w:cs="Calibri"/>
                <w:color w:val="222222"/>
                <w:sz w:val="19"/>
                <w:szCs w:val="19"/>
              </w:rPr>
              <w:t xml:space="preserve">Move to the next small piece of </w:t>
            </w:r>
            <w:proofErr w:type="spellStart"/>
            <w:r>
              <w:rPr>
                <w:rFonts w:ascii="Calibri" w:eastAsia="Calibri" w:hAnsi="Calibri" w:cs="Calibri"/>
                <w:color w:val="222222"/>
                <w:sz w:val="19"/>
                <w:szCs w:val="19"/>
              </w:rPr>
              <w:t>behavior</w:t>
            </w:r>
            <w:proofErr w:type="spellEnd"/>
            <w:r>
              <w:rPr>
                <w:rFonts w:ascii="Calibri" w:eastAsia="Calibri" w:hAnsi="Calibri" w:cs="Calibri"/>
                <w:color w:val="222222"/>
                <w:sz w:val="19"/>
                <w:szCs w:val="19"/>
              </w:rPr>
              <w:t>.</w:t>
            </w:r>
          </w:p>
        </w:tc>
        <w:tc>
          <w:tcPr>
            <w:tcW w:w="3600" w:type="dxa"/>
          </w:tcPr>
          <w:p w14:paraId="04E7703C" w14:textId="77777777" w:rsidR="007E5053" w:rsidRDefault="00000000">
            <w:r>
              <w:rPr>
                <w:rFonts w:ascii="Calibri" w:eastAsia="Calibri" w:hAnsi="Calibri" w:cs="Calibri"/>
                <w:color w:val="222222"/>
                <w:sz w:val="19"/>
                <w:szCs w:val="19"/>
              </w:rPr>
              <w:t>Cycle repeated across 14 test cases — preprocessing, training, prediction, explainability, bad-input handling.</w:t>
            </w:r>
          </w:p>
        </w:tc>
      </w:tr>
    </w:tbl>
    <w:p w14:paraId="6F6985D6" w14:textId="77777777" w:rsidR="007E5053" w:rsidRDefault="007E5053">
      <w:pPr>
        <w:spacing w:after="200"/>
      </w:pPr>
    </w:p>
    <w:p w14:paraId="3E404A98" w14:textId="77777777" w:rsidR="007E5053" w:rsidRDefault="00000000">
      <w:pPr>
        <w:spacing w:after="140" w:line="270" w:lineRule="auto"/>
      </w:pPr>
      <w:r>
        <w:rPr>
          <w:rFonts w:ascii="Calibri" w:eastAsia="Calibri" w:hAnsi="Calibri" w:cs="Calibri"/>
          <w:color w:val="222222"/>
          <w:sz w:val="21"/>
          <w:szCs w:val="21"/>
        </w:rPr>
        <w:t>By the end, this gave us 14 test cases covering preprocessing, model training, prediction output, explainability, and bad-input handling — all passing before we called any of it "done."</w:t>
      </w:r>
    </w:p>
    <w:p w14:paraId="437A79C4" w14:textId="77777777" w:rsidR="007E5053" w:rsidRDefault="00000000" w:rsidP="002F379B">
      <w:pPr>
        <w:pStyle w:val="Strong1"/>
      </w:pPr>
      <w:r>
        <w:rPr>
          <w:rFonts w:eastAsia="Calibri"/>
        </w:rPr>
        <w:t>Why This Mattered — As Scrum Master</w:t>
      </w:r>
    </w:p>
    <w:p w14:paraId="4C9E3828" w14:textId="77777777" w:rsidR="007E5053" w:rsidRDefault="00000000">
      <w:pPr>
        <w:spacing w:after="140" w:line="270" w:lineRule="auto"/>
      </w:pPr>
      <w:r>
        <w:rPr>
          <w:rFonts w:ascii="Calibri" w:eastAsia="Calibri" w:hAnsi="Calibri" w:cs="Calibri"/>
          <w:color w:val="222222"/>
          <w:sz w:val="21"/>
          <w:szCs w:val="21"/>
        </w:rPr>
        <w:t>A few things I noticed running this sprint that I'd credit directly to TDD:</w:t>
      </w:r>
    </w:p>
    <w:p w14:paraId="6CDD3C35" w14:textId="77777777" w:rsidR="007E5053" w:rsidRDefault="00000000">
      <w:pPr>
        <w:pStyle w:val="ListParagraph"/>
        <w:numPr>
          <w:ilvl w:val="0"/>
          <w:numId w:val="2"/>
        </w:numPr>
        <w:spacing w:after="70"/>
      </w:pPr>
      <w:r>
        <w:rPr>
          <w:rFonts w:ascii="Calibri" w:eastAsia="Calibri" w:hAnsi="Calibri" w:cs="Calibri"/>
          <w:sz w:val="21"/>
          <w:szCs w:val="21"/>
        </w:rPr>
        <w:t>Progress was provable, not just claimed. At standup, "it's working" meant something — there were passing tests behind it, not just a developer's word.</w:t>
      </w:r>
    </w:p>
    <w:p w14:paraId="7E5BA9BF" w14:textId="77777777" w:rsidR="007E5053" w:rsidRDefault="00000000">
      <w:pPr>
        <w:pStyle w:val="ListParagraph"/>
        <w:numPr>
          <w:ilvl w:val="0"/>
          <w:numId w:val="2"/>
        </w:numPr>
        <w:spacing w:after="70"/>
      </w:pPr>
      <w:r>
        <w:rPr>
          <w:rFonts w:ascii="Calibri" w:eastAsia="Calibri" w:hAnsi="Calibri" w:cs="Calibri"/>
          <w:sz w:val="21"/>
          <w:szCs w:val="21"/>
        </w:rPr>
        <w:t>Bugs got caught early and cheap. Bad data, wrong outputs, and broken edge cases showed up while writing a function, not weeks later during integration or the demo.</w:t>
      </w:r>
    </w:p>
    <w:p w14:paraId="1D8C0531" w14:textId="77777777" w:rsidR="007E5053" w:rsidRDefault="00000000">
      <w:pPr>
        <w:pStyle w:val="ListParagraph"/>
        <w:numPr>
          <w:ilvl w:val="0"/>
          <w:numId w:val="2"/>
        </w:numPr>
        <w:spacing w:after="70"/>
      </w:pPr>
      <w:r>
        <w:rPr>
          <w:rFonts w:ascii="Calibri" w:eastAsia="Calibri" w:hAnsi="Calibri" w:cs="Calibri"/>
          <w:sz w:val="21"/>
          <w:szCs w:val="21"/>
        </w:rPr>
        <w:t>Acceptance was easy to check. Each backlog item mapped straight to a test scenario, so reviewing "is this done" was a quick look at pass/fail, not a judgment call.</w:t>
      </w:r>
    </w:p>
    <w:p w14:paraId="1FAFE592" w14:textId="77777777" w:rsidR="007E5053" w:rsidRDefault="00000000">
      <w:pPr>
        <w:pStyle w:val="ListParagraph"/>
        <w:numPr>
          <w:ilvl w:val="0"/>
          <w:numId w:val="2"/>
        </w:numPr>
        <w:spacing w:after="70"/>
      </w:pPr>
      <w:r>
        <w:rPr>
          <w:rFonts w:ascii="Calibri" w:eastAsia="Calibri" w:hAnsi="Calibri" w:cs="Calibri"/>
          <w:sz w:val="21"/>
          <w:szCs w:val="21"/>
        </w:rPr>
        <w:t>Refactoring didn't feel risky. The team could clean up or improve code without the usual fear of quietly breaking something else.</w:t>
      </w:r>
    </w:p>
    <w:p w14:paraId="3A06D16E" w14:textId="77777777" w:rsidR="007E5053" w:rsidRDefault="00000000">
      <w:pPr>
        <w:pStyle w:val="ListParagraph"/>
        <w:numPr>
          <w:ilvl w:val="0"/>
          <w:numId w:val="2"/>
        </w:numPr>
        <w:spacing w:after="70"/>
      </w:pPr>
      <w:r>
        <w:rPr>
          <w:rFonts w:ascii="Calibri" w:eastAsia="Calibri" w:hAnsi="Calibri" w:cs="Calibri"/>
          <w:sz w:val="21"/>
          <w:szCs w:val="21"/>
        </w:rPr>
        <w:t>It kept scope honest. Because a test had to exist before code did, it was harder for a task to quietly grow bigger than what the sprint actually committed to.</w:t>
      </w:r>
    </w:p>
    <w:p w14:paraId="329D3610" w14:textId="77777777" w:rsidR="007E5053" w:rsidRDefault="00000000" w:rsidP="002F379B">
      <w:pPr>
        <w:pStyle w:val="Strong1"/>
      </w:pPr>
      <w:r>
        <w:rPr>
          <w:rFonts w:eastAsia="Calibri"/>
        </w:rPr>
        <w:t>My Take</w:t>
      </w:r>
    </w:p>
    <w:p w14:paraId="542FDA21" w14:textId="77777777" w:rsidR="007E5053" w:rsidRDefault="00000000">
      <w:pPr>
        <w:spacing w:after="140" w:line="270" w:lineRule="auto"/>
      </w:pPr>
      <w:r>
        <w:rPr>
          <w:rFonts w:ascii="Calibri" w:eastAsia="Calibri" w:hAnsi="Calibri" w:cs="Calibri"/>
          <w:color w:val="222222"/>
          <w:sz w:val="21"/>
          <w:szCs w:val="21"/>
        </w:rPr>
        <w:t xml:space="preserve">TDD added a bit of upfront effort — writing tests before code always feels slower at first. But it paid that back by the time we hit sprint review: no surprises, no last-minute scrambling to check if things worked, and a model we could </w:t>
      </w:r>
      <w:r>
        <w:rPr>
          <w:rFonts w:ascii="Calibri" w:eastAsia="Calibri" w:hAnsi="Calibri" w:cs="Calibri"/>
          <w:color w:val="222222"/>
          <w:sz w:val="21"/>
          <w:szCs w:val="21"/>
        </w:rPr>
        <w:lastRenderedPageBreak/>
        <w:t>actually stand behind going into the dashboard and demo work. For a project like this, where a wrong prediction has a real cost, that trade-off was worth it.</w:t>
      </w:r>
    </w:p>
    <w:sectPr w:rsidR="007E5053">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56BE6"/>
    <w:multiLevelType w:val="hybridMultilevel"/>
    <w:tmpl w:val="3DB23E74"/>
    <w:lvl w:ilvl="0" w:tplc="6A943D2A">
      <w:start w:val="1"/>
      <w:numFmt w:val="bullet"/>
      <w:lvlText w:val="•"/>
      <w:lvlJc w:val="left"/>
      <w:pPr>
        <w:ind w:left="400" w:hanging="240"/>
      </w:pPr>
    </w:lvl>
    <w:lvl w:ilvl="1" w:tplc="FCBA2706">
      <w:numFmt w:val="decimal"/>
      <w:lvlText w:val=""/>
      <w:lvlJc w:val="left"/>
    </w:lvl>
    <w:lvl w:ilvl="2" w:tplc="5FC80226">
      <w:numFmt w:val="decimal"/>
      <w:lvlText w:val=""/>
      <w:lvlJc w:val="left"/>
    </w:lvl>
    <w:lvl w:ilvl="3" w:tplc="CEA2B210">
      <w:numFmt w:val="decimal"/>
      <w:lvlText w:val=""/>
      <w:lvlJc w:val="left"/>
    </w:lvl>
    <w:lvl w:ilvl="4" w:tplc="B1520E0E">
      <w:numFmt w:val="decimal"/>
      <w:lvlText w:val=""/>
      <w:lvlJc w:val="left"/>
    </w:lvl>
    <w:lvl w:ilvl="5" w:tplc="B4D60F20">
      <w:numFmt w:val="decimal"/>
      <w:lvlText w:val=""/>
      <w:lvlJc w:val="left"/>
    </w:lvl>
    <w:lvl w:ilvl="6" w:tplc="99B68A9A">
      <w:numFmt w:val="decimal"/>
      <w:lvlText w:val=""/>
      <w:lvlJc w:val="left"/>
    </w:lvl>
    <w:lvl w:ilvl="7" w:tplc="D718300E">
      <w:numFmt w:val="decimal"/>
      <w:lvlText w:val=""/>
      <w:lvlJc w:val="left"/>
    </w:lvl>
    <w:lvl w:ilvl="8" w:tplc="EAEAA3C0">
      <w:numFmt w:val="decimal"/>
      <w:lvlText w:val=""/>
      <w:lvlJc w:val="left"/>
    </w:lvl>
  </w:abstractNum>
  <w:abstractNum w:abstractNumId="1" w15:restartNumberingAfterBreak="0">
    <w:nsid w:val="1FE83823"/>
    <w:multiLevelType w:val="hybridMultilevel"/>
    <w:tmpl w:val="C0B09A08"/>
    <w:lvl w:ilvl="0" w:tplc="BFE44110">
      <w:start w:val="1"/>
      <w:numFmt w:val="decimal"/>
      <w:lvlText w:val="%1."/>
      <w:lvlJc w:val="left"/>
      <w:pPr>
        <w:ind w:left="420" w:hanging="260"/>
      </w:pPr>
    </w:lvl>
    <w:lvl w:ilvl="1" w:tplc="74021194">
      <w:numFmt w:val="decimal"/>
      <w:lvlText w:val=""/>
      <w:lvlJc w:val="left"/>
    </w:lvl>
    <w:lvl w:ilvl="2" w:tplc="A690784A">
      <w:numFmt w:val="decimal"/>
      <w:lvlText w:val=""/>
      <w:lvlJc w:val="left"/>
    </w:lvl>
    <w:lvl w:ilvl="3" w:tplc="14521140">
      <w:numFmt w:val="decimal"/>
      <w:lvlText w:val=""/>
      <w:lvlJc w:val="left"/>
    </w:lvl>
    <w:lvl w:ilvl="4" w:tplc="4C34CA52">
      <w:numFmt w:val="decimal"/>
      <w:lvlText w:val=""/>
      <w:lvlJc w:val="left"/>
    </w:lvl>
    <w:lvl w:ilvl="5" w:tplc="3586CF6A">
      <w:numFmt w:val="decimal"/>
      <w:lvlText w:val=""/>
      <w:lvlJc w:val="left"/>
    </w:lvl>
    <w:lvl w:ilvl="6" w:tplc="89DC5E1E">
      <w:numFmt w:val="decimal"/>
      <w:lvlText w:val=""/>
      <w:lvlJc w:val="left"/>
    </w:lvl>
    <w:lvl w:ilvl="7" w:tplc="1278D26A">
      <w:numFmt w:val="decimal"/>
      <w:lvlText w:val=""/>
      <w:lvlJc w:val="left"/>
    </w:lvl>
    <w:lvl w:ilvl="8" w:tplc="D85CE280">
      <w:numFmt w:val="decimal"/>
      <w:lvlText w:val=""/>
      <w:lvlJc w:val="left"/>
    </w:lvl>
  </w:abstractNum>
  <w:abstractNum w:abstractNumId="2" w15:restartNumberingAfterBreak="0">
    <w:nsid w:val="42D34AC1"/>
    <w:multiLevelType w:val="hybridMultilevel"/>
    <w:tmpl w:val="0ED8ED28"/>
    <w:lvl w:ilvl="0" w:tplc="94FE4B8A">
      <w:start w:val="1"/>
      <w:numFmt w:val="bullet"/>
      <w:lvlText w:val="●"/>
      <w:lvlJc w:val="left"/>
      <w:pPr>
        <w:ind w:left="720" w:hanging="360"/>
      </w:pPr>
    </w:lvl>
    <w:lvl w:ilvl="1" w:tplc="72583448">
      <w:start w:val="1"/>
      <w:numFmt w:val="bullet"/>
      <w:lvlText w:val="○"/>
      <w:lvlJc w:val="left"/>
      <w:pPr>
        <w:ind w:left="1440" w:hanging="360"/>
      </w:pPr>
    </w:lvl>
    <w:lvl w:ilvl="2" w:tplc="0ED662AE">
      <w:start w:val="1"/>
      <w:numFmt w:val="bullet"/>
      <w:lvlText w:val="■"/>
      <w:lvlJc w:val="left"/>
      <w:pPr>
        <w:ind w:left="2160" w:hanging="360"/>
      </w:pPr>
    </w:lvl>
    <w:lvl w:ilvl="3" w:tplc="3FB8DD44">
      <w:start w:val="1"/>
      <w:numFmt w:val="bullet"/>
      <w:lvlText w:val="●"/>
      <w:lvlJc w:val="left"/>
      <w:pPr>
        <w:ind w:left="2880" w:hanging="360"/>
      </w:pPr>
    </w:lvl>
    <w:lvl w:ilvl="4" w:tplc="27265D4C">
      <w:start w:val="1"/>
      <w:numFmt w:val="bullet"/>
      <w:lvlText w:val="○"/>
      <w:lvlJc w:val="left"/>
      <w:pPr>
        <w:ind w:left="3600" w:hanging="360"/>
      </w:pPr>
    </w:lvl>
    <w:lvl w:ilvl="5" w:tplc="89D4FDE6">
      <w:start w:val="1"/>
      <w:numFmt w:val="bullet"/>
      <w:lvlText w:val="■"/>
      <w:lvlJc w:val="left"/>
      <w:pPr>
        <w:ind w:left="4320" w:hanging="360"/>
      </w:pPr>
    </w:lvl>
    <w:lvl w:ilvl="6" w:tplc="1FEE783E">
      <w:start w:val="1"/>
      <w:numFmt w:val="bullet"/>
      <w:lvlText w:val="●"/>
      <w:lvlJc w:val="left"/>
      <w:pPr>
        <w:ind w:left="5040" w:hanging="360"/>
      </w:pPr>
    </w:lvl>
    <w:lvl w:ilvl="7" w:tplc="482074FC">
      <w:start w:val="1"/>
      <w:numFmt w:val="bullet"/>
      <w:lvlText w:val="●"/>
      <w:lvlJc w:val="left"/>
      <w:pPr>
        <w:ind w:left="5760" w:hanging="360"/>
      </w:pPr>
    </w:lvl>
    <w:lvl w:ilvl="8" w:tplc="69DA3710">
      <w:start w:val="1"/>
      <w:numFmt w:val="bullet"/>
      <w:lvlText w:val="●"/>
      <w:lvlJc w:val="left"/>
      <w:pPr>
        <w:ind w:left="6480" w:hanging="360"/>
      </w:pPr>
    </w:lvl>
  </w:abstractNum>
  <w:num w:numId="1" w16cid:durableId="1626934642">
    <w:abstractNumId w:val="2"/>
    <w:lvlOverride w:ilvl="0">
      <w:startOverride w:val="1"/>
    </w:lvlOverride>
  </w:num>
  <w:num w:numId="2" w16cid:durableId="11102760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053"/>
    <w:rsid w:val="002F379B"/>
    <w:rsid w:val="007E5053"/>
    <w:rsid w:val="00F03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EEAB3"/>
  <w15:docId w15:val="{7F14ED12-4FA6-4056-8C1B-6795161C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F37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4FBB2-27A2-4A27-BA58-65553E3DF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Shashank chary</cp:lastModifiedBy>
  <cp:revision>2</cp:revision>
  <dcterms:created xsi:type="dcterms:W3CDTF">2026-07-13T04:27:00Z</dcterms:created>
  <dcterms:modified xsi:type="dcterms:W3CDTF">2026-07-13T04:35:00Z</dcterms:modified>
</cp:coreProperties>
</file>