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tbl>
      <w:tblPr>
        <w:tblStyle w:val="Table1"/>
        <w:tblW w:w="9020.0" w:type="dxa"/>
        <w:jc w:val="left"/>
        <w:tblLayout w:type="fixed"/>
        <w:tblLook w:val="0400"/>
      </w:tblPr>
      <w:tblGrid>
        <w:gridCol w:w="1095"/>
        <w:gridCol w:w="107"/>
        <w:gridCol w:w="7818"/>
        <w:tblGridChange w:id="0">
          <w:tblGrid>
            <w:gridCol w:w="1095"/>
            <w:gridCol w:w="107"/>
            <w:gridCol w:w="7818"/>
          </w:tblGrid>
        </w:tblGridChange>
      </w:tblGrid>
      <w:tr>
        <w:trPr>
          <w:cantSplit w:val="0"/>
          <w:trHeight w:val="666" w:hRule="atLeast"/>
          <w:tblHeader w:val="0"/>
        </w:trPr>
        <w:tc>
          <w:tcPr>
            <w:tcBorders>
              <w:top w:color="000000" w:space="0" w:sz="4" w:val="single"/>
              <w:left w:color="000000" w:space="0" w:sz="4" w:val="single"/>
              <w:bottom w:color="000000" w:space="0" w:sz="4" w:val="single"/>
              <w:right w:color="000000" w:space="0" w:sz="4" w:val="single"/>
            </w:tcBorders>
            <w:shd w:fill="cedeef" w:val="clear"/>
            <w:tcMar>
              <w:top w:w="28.0" w:type="dxa"/>
              <w:left w:w="102.0" w:type="dxa"/>
              <w:bottom w:w="28.0" w:type="dxa"/>
              <w:right w:w="102.0" w:type="dxa"/>
            </w:tcMar>
            <w:vAlign w:val="center"/>
          </w:tcPr>
          <w:p w:rsidR="00000000" w:rsidDel="00000000" w:rsidP="00000000" w:rsidRDefault="00000000" w:rsidRPr="00000000" w14:paraId="00000002">
            <w:pPr>
              <w:spacing w:after="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32"/>
                <w:szCs w:val="32"/>
                <w:rtl w:val="0"/>
              </w:rPr>
              <w:t xml:space="preserve">주제</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3">
            <w:pPr>
              <w:spacing w:after="0" w:lineRule="auto"/>
              <w:jc w:val="center"/>
              <w:rPr>
                <w:rFonts w:ascii="Malgun Gothic" w:cs="Malgun Gothic" w:eastAsia="Malgun Gothic" w:hAnsi="Malgun Gothic"/>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edeef" w:val="clear"/>
            <w:tcMar>
              <w:top w:w="28.0" w:type="dxa"/>
              <w:left w:w="102.0" w:type="dxa"/>
              <w:bottom w:w="28.0" w:type="dxa"/>
              <w:right w:w="102.0" w:type="dxa"/>
            </w:tcMar>
            <w:vAlign w:val="center"/>
          </w:tcPr>
          <w:p w:rsidR="00000000" w:rsidDel="00000000" w:rsidP="00000000" w:rsidRDefault="00000000" w:rsidRPr="00000000" w14:paraId="00000004">
            <w:pPr>
              <w:spacing w:after="0" w:lineRule="auto"/>
              <w:ind w:left="450" w:firstLine="0"/>
              <w:jc w:val="both"/>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전기·전자 업종 ESG 개선 요인 분석과 컨설팅 제안 </w:t>
            </w:r>
          </w:p>
        </w:tc>
      </w:tr>
    </w:tbl>
    <w:p w:rsidR="00000000" w:rsidDel="00000000" w:rsidP="00000000" w:rsidRDefault="00000000" w:rsidRPr="00000000" w14:paraId="00000005">
      <w:pPr>
        <w:spacing w:after="0" w:before="200" w:lineRule="auto"/>
        <w:jc w:val="both"/>
        <w:rPr>
          <w:rFonts w:ascii="Malgun Gothic" w:cs="Malgun Gothic" w:eastAsia="Malgun Gothic" w:hAnsi="Malgun Gothic"/>
          <w:b w:val="1"/>
          <w:bCs w:val="1"/>
          <w:sz w:val="12"/>
          <w:szCs w:val="12"/>
        </w:rPr>
      </w:pPr>
      <w:r w:rsidDel="00000000" w:rsidR="00000000" w:rsidRPr="00000000">
        <w:rPr>
          <w:rFonts w:ascii="Malgun Gothic" w:cs="Malgun Gothic" w:eastAsia="Malgun Gothic" w:hAnsi="Malgun Gothic"/>
          <w:b w:val="1"/>
          <w:bCs w:val="1"/>
          <w:sz w:val="30"/>
          <w:szCs w:val="30"/>
          <w:rtl w:val="0"/>
        </w:rPr>
        <w:t xml:space="preserve">□</w:t>
      </w:r>
      <w:r w:rsidDel="00000000" w:rsidR="00000000" w:rsidRPr="00000000">
        <w:rPr>
          <w:rFonts w:ascii="Malgun Gothic" w:cs="Malgun Gothic" w:eastAsia="Malgun Gothic" w:hAnsi="Malgun Gothic"/>
          <w:b w:val="1"/>
          <w:bCs w:val="1"/>
          <w:sz w:val="32"/>
          <w:szCs w:val="32"/>
          <w:rtl w:val="0"/>
        </w:rPr>
        <w:t xml:space="preserve"> 과제 개요</w:t>
      </w:r>
      <w:r w:rsidDel="00000000" w:rsidR="00000000" w:rsidRPr="00000000">
        <w:rPr>
          <w:rtl w:val="0"/>
        </w:rPr>
      </w:r>
    </w:p>
    <w:p w:rsidR="00000000" w:rsidDel="00000000" w:rsidP="00000000" w:rsidRDefault="00000000" w:rsidRPr="00000000" w14:paraId="00000006">
      <w:pPr>
        <w:spacing w:after="0" w:before="20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6"/>
          <w:szCs w:val="26"/>
          <w:rtl w:val="0"/>
        </w:rPr>
        <w:t xml:space="preserve">○ 목 적 : </w:t>
      </w:r>
      <w:r w:rsidDel="00000000" w:rsidR="00000000" w:rsidRPr="00000000">
        <w:rPr>
          <w:rtl w:val="0"/>
        </w:rPr>
      </w:r>
    </w:p>
    <w:tbl>
      <w:tblPr>
        <w:tblStyle w:val="Table2"/>
        <w:tblW w:w="9020.0" w:type="dxa"/>
        <w:jc w:val="right"/>
        <w:tblLayout w:type="fixed"/>
        <w:tblLook w:val="0400"/>
      </w:tblPr>
      <w:tblGrid>
        <w:gridCol w:w="9020"/>
        <w:tblGridChange w:id="0">
          <w:tblGrid>
            <w:gridCol w:w="9020"/>
          </w:tblGrid>
        </w:tblGridChange>
      </w:tblGrid>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07">
            <w:pPr>
              <w:spacing w:after="0" w:before="12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한국 ESG 기준원(KCGS) 2025년 ESG 평가 대상 전기·전자 업종 101개사를 모집단으로, 동일 업종 내에서 나타나는 ESG 등급 양극화의 구조를 규명한다.</w:t>
            </w:r>
          </w:p>
          <w:p w:rsidR="00000000" w:rsidDel="00000000" w:rsidP="00000000" w:rsidRDefault="00000000" w:rsidRPr="00000000" w14:paraId="00000008">
            <w:pPr>
              <w:spacing w:after="0" w:before="12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나아가 ESG 등급 산출식의 기준 지표가 아니면서 기업이 스스로 선택하고 통제할 수 있는 행동 변수를 식별하여, </w:t>
            </w:r>
            <w:r w:rsidDel="00000000" w:rsidR="00000000" w:rsidRPr="00000000">
              <w:rPr>
                <w:rFonts w:ascii="Malgun Gothic" w:cs="Malgun Gothic" w:eastAsia="Malgun Gothic" w:hAnsi="Malgun Gothic"/>
                <w:b w:val="1"/>
                <w:bCs w:val="1"/>
                <w:sz w:val="20"/>
                <w:szCs w:val="20"/>
                <w:rtl w:val="0"/>
              </w:rPr>
              <w:t xml:space="preserve">하위 등급(C·D)기업</w:t>
            </w:r>
            <w:r w:rsidDel="00000000" w:rsidR="00000000" w:rsidRPr="00000000">
              <w:rPr>
                <w:rFonts w:ascii="Malgun Gothic" w:cs="Malgun Gothic" w:eastAsia="Malgun Gothic" w:hAnsi="Malgun Gothic"/>
                <w:sz w:val="20"/>
                <w:szCs w:val="20"/>
                <w:rtl w:val="0"/>
              </w:rPr>
              <w:t xml:space="preserve">이 실행할 수 있는 개선 방향을 등급 구간 별로 제안하는 컨설팅 서비스를 설계한다.</w:t>
            </w:r>
          </w:p>
          <w:p w:rsidR="00000000" w:rsidDel="00000000" w:rsidP="00000000" w:rsidRDefault="00000000" w:rsidRPr="00000000" w14:paraId="00000009">
            <w:pPr>
              <w:spacing w:after="0" w:before="120" w:lineRule="auto"/>
              <w:rPr>
                <w:rFonts w:ascii="Malgun Gothic" w:cs="Malgun Gothic" w:eastAsia="Malgun Gothic" w:hAnsi="Malgun Gothic"/>
                <w:sz w:val="14"/>
                <w:szCs w:val="14"/>
              </w:rPr>
            </w:pPr>
            <w:r w:rsidDel="00000000" w:rsidR="00000000" w:rsidRPr="00000000">
              <w:rPr>
                <w:rFonts w:ascii="Malgun Gothic" w:cs="Malgun Gothic" w:eastAsia="Malgun Gothic" w:hAnsi="Malgun Gothic"/>
                <w:b w:val="1"/>
                <w:bCs w:val="1"/>
                <w:sz w:val="20"/>
                <w:szCs w:val="20"/>
                <w:rtl w:val="0"/>
              </w:rPr>
              <w:t xml:space="preserve">[핵심 질문]</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shd w:fill="fafbae" w:val="clear"/>
                <w:rtl w:val="0"/>
              </w:rPr>
              <w:t xml:space="preserve">같은 업종 및 규제 환경에 있는 전기·전자 기업들의 ESG 등급이 왜 극단적</w:t>
            </w:r>
            <w:r w:rsidDel="00000000" w:rsidR="00000000" w:rsidRPr="00000000">
              <w:rPr>
                <w:rFonts w:ascii="Malgun Gothic" w:cs="Malgun Gothic" w:eastAsia="Malgun Gothic" w:hAnsi="Malgun Gothic"/>
                <w:sz w:val="20"/>
                <w:szCs w:val="20"/>
                <w:rtl w:val="0"/>
              </w:rPr>
              <w:t xml:space="preserve">으로 갈리며, 그 </w:t>
            </w:r>
            <w:r w:rsidDel="00000000" w:rsidR="00000000" w:rsidRPr="00000000">
              <w:rPr>
                <w:rFonts w:ascii="Malgun Gothic" w:cs="Malgun Gothic" w:eastAsia="Malgun Gothic" w:hAnsi="Malgun Gothic"/>
                <w:sz w:val="20"/>
                <w:szCs w:val="20"/>
                <w:shd w:fill="fafbae" w:val="clear"/>
                <w:rtl w:val="0"/>
              </w:rPr>
              <w:t xml:space="preserve">격차 중 기업이 실제로 통제할 수 있는 요소는 무엇</w:t>
            </w:r>
            <w:r w:rsidDel="00000000" w:rsidR="00000000" w:rsidRPr="00000000">
              <w:rPr>
                <w:rFonts w:ascii="Malgun Gothic" w:cs="Malgun Gothic" w:eastAsia="Malgun Gothic" w:hAnsi="Malgun Gothic"/>
                <w:sz w:val="20"/>
                <w:szCs w:val="20"/>
                <w:rtl w:val="0"/>
              </w:rPr>
              <w:t xml:space="preserve">인가?</w:t>
            </w:r>
            <w:r w:rsidDel="00000000" w:rsidR="00000000" w:rsidRPr="00000000">
              <w:rPr>
                <w:rtl w:val="0"/>
              </w:rPr>
            </w:r>
          </w:p>
        </w:tc>
      </w:tr>
    </w:tbl>
    <w:p w:rsidR="00000000" w:rsidDel="00000000" w:rsidP="00000000" w:rsidRDefault="00000000" w:rsidRPr="00000000" w14:paraId="0000000A">
      <w:pPr>
        <w:spacing w:after="0" w:before="200" w:lineRule="auto"/>
        <w:ind w:left="0" w:firstLine="0"/>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0B">
      <w:pPr>
        <w:spacing w:after="0" w:before="200" w:lineRule="auto"/>
        <w:ind w:left="77.99999999999997" w:firstLine="0"/>
        <w:jc w:val="both"/>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26"/>
          <w:szCs w:val="26"/>
          <w:rtl w:val="0"/>
        </w:rPr>
        <w:t xml:space="preserve">○ 필요성 : </w:t>
      </w:r>
      <w:r w:rsidDel="00000000" w:rsidR="00000000" w:rsidRPr="00000000">
        <w:rPr>
          <w:rtl w:val="0"/>
        </w:rPr>
      </w:r>
    </w:p>
    <w:tbl>
      <w:tblPr>
        <w:tblStyle w:val="Table3"/>
        <w:tblW w:w="9020.0" w:type="dxa"/>
        <w:jc w:val="right"/>
        <w:tblLayout w:type="fixed"/>
        <w:tblLook w:val="0400"/>
      </w:tblPr>
      <w:tblGrid>
        <w:gridCol w:w="9020"/>
        <w:tblGridChange w:id="0">
          <w:tblGrid>
            <w:gridCol w:w="9020"/>
          </w:tblGrid>
        </w:tblGridChange>
      </w:tblGrid>
      <w:tr>
        <w:trPr>
          <w:cantSplit w:val="0"/>
          <w:trHeight w:val="56" w:hRule="atLeast"/>
          <w:tblHeader w:val="0"/>
        </w:trPr>
        <w:tc>
          <w:tcPr>
            <w:tcBorders>
              <w:top w:color="434343" w:space="0" w:sz="4" w:val="single"/>
              <w:left w:color="434343" w:space="0" w:sz="4" w:val="single"/>
              <w:bottom w:color="434343" w:space="0" w:sz="4" w:val="single"/>
              <w:right w:color="434343" w:space="0" w:sz="4" w:val="single"/>
            </w:tcBorders>
            <w:tcMar>
              <w:top w:w="28.0" w:type="dxa"/>
              <w:left w:w="102.0" w:type="dxa"/>
              <w:bottom w:w="28.0" w:type="dxa"/>
              <w:right w:w="102.0" w:type="dxa"/>
            </w:tcMar>
            <w:vAlign w:val="center"/>
          </w:tcPr>
          <w:p w:rsidR="00000000" w:rsidDel="00000000" w:rsidP="00000000" w:rsidRDefault="00000000" w:rsidRPr="00000000" w14:paraId="0000000C">
            <w:pPr>
              <w:keepNext w:val="0"/>
              <w:keepLines w:val="0"/>
              <w:spacing w:after="0" w:before="0" w:line="276"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0000ff"/>
                <w:sz w:val="20"/>
                <w:szCs w:val="20"/>
                <w:rtl w:val="0"/>
              </w:rPr>
              <w:t xml:space="preserve">[ 배경 ]</w:t>
            </w:r>
            <w:r w:rsidDel="00000000" w:rsidR="00000000" w:rsidRPr="00000000">
              <w:rPr>
                <w:rFonts w:ascii="Malgun Gothic" w:cs="Malgun Gothic" w:eastAsia="Malgun Gothic" w:hAnsi="Malgun Gothic"/>
                <w:b w:val="1"/>
                <w:bCs w:val="1"/>
                <w:color w:val="ff0000"/>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ESG 등급의 활용 확대와 개선 방법론의 부재</w:t>
            </w:r>
            <w:r w:rsidDel="00000000" w:rsidR="00000000" w:rsidRPr="00000000">
              <w:rPr>
                <w:rFonts w:ascii="Malgun Gothic" w:cs="Malgun Gothic" w:eastAsia="Malgun Gothic" w:hAnsi="Malgun Gothic"/>
                <w:sz w:val="20"/>
                <w:szCs w:val="20"/>
                <w:rtl w:val="0"/>
              </w:rPr>
              <w:br w:type="textWrapping"/>
              <w:t xml:space="preserve">ESG 등급은 투자 의사결정 및 자금조달 조건, 그리고 거래처 심사에 활용되는 준(準) 공식 지표로 자리 잡았다. 또한 금융위원회의 </w:t>
            </w:r>
            <w:hyperlink r:id="rId7">
              <w:r w:rsidDel="00000000" w:rsidR="00000000" w:rsidRPr="00000000">
                <w:rPr>
                  <w:rFonts w:ascii="Malgun Gothic" w:cs="Malgun Gothic" w:eastAsia="Malgun Gothic" w:hAnsi="Malgun Gothic"/>
                  <w:color w:val="1155cc"/>
                  <w:sz w:val="20"/>
                  <w:szCs w:val="20"/>
                  <w:u w:val="single"/>
                  <w:rtl w:val="0"/>
                </w:rPr>
                <w:t xml:space="preserve">「지속가능성(ESG) 공시 제도화 방안」</w:t>
              </w:r>
            </w:hyperlink>
            <w:r w:rsidDel="00000000" w:rsidR="00000000" w:rsidRPr="00000000">
              <w:rPr>
                <w:rFonts w:ascii="Malgun Gothic" w:cs="Malgun Gothic" w:eastAsia="Malgun Gothic" w:hAnsi="Malgun Gothic"/>
                <w:sz w:val="20"/>
                <w:szCs w:val="20"/>
                <w:rtl w:val="0"/>
              </w:rPr>
              <w:t xml:space="preserve">에 따라 2028년부터 대형 코스피 상장사를 시작으로 20oo까지 사업보고서 내 ESG 법정 공시가 의무화되고 있다. </w:t>
            </w:r>
          </w:p>
          <w:p w:rsidR="00000000" w:rsidDel="00000000" w:rsidP="00000000" w:rsidRDefault="00000000" w:rsidRPr="00000000" w14:paraId="0000000D">
            <w:pPr>
              <w:keepNext w:val="0"/>
              <w:keepLines w:val="0"/>
              <w:spacing w:after="0" w:before="0" w:line="276"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E">
            <w:pPr>
              <w:keepNext w:val="0"/>
              <w:keepLines w:val="0"/>
              <w:spacing w:before="0" w:line="276"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ff0000"/>
                <w:sz w:val="20"/>
                <w:szCs w:val="20"/>
                <w:rtl w:val="0"/>
              </w:rPr>
              <w:t xml:space="preserve">[ 문제인식1 ] </w:t>
            </w:r>
            <w:r w:rsidDel="00000000" w:rsidR="00000000" w:rsidRPr="00000000">
              <w:rPr>
                <w:rFonts w:ascii="Malgun Gothic" w:cs="Malgun Gothic" w:eastAsia="Malgun Gothic" w:hAnsi="Malgun Gothic"/>
                <w:b w:val="1"/>
                <w:bCs w:val="1"/>
                <w:sz w:val="20"/>
                <w:szCs w:val="20"/>
                <w:rtl w:val="0"/>
              </w:rPr>
              <w:t xml:space="preserve">전기·전자는 업종 내 등급 편차가 가장 큰 업종군에 속한다.</w:t>
            </w:r>
            <w:r w:rsidDel="00000000" w:rsidR="00000000" w:rsidRPr="00000000">
              <w:rPr>
                <w:rFonts w:ascii="Malgun Gothic" w:cs="Malgun Gothic" w:eastAsia="Malgun Gothic" w:hAnsi="Malgun Gothic"/>
                <w:sz w:val="20"/>
                <w:szCs w:val="20"/>
                <w:rtl w:val="0"/>
              </w:rPr>
              <w:br w:type="textWrapping"/>
              <w:t xml:space="preserve">업종 내 ESG 점수 표준편차 기준 전기·전자는 1.60으로 전체 4위(1위 유통 1.84, 2위 건설 1.66, 화학 1.61)이다. 규제 환경과 사업 구조를 상당 부분 공유하는 동일 업종 내에서 등급 편차가 존재한다는 점은, 이러한 격차를 업종 특성만으로 설명할 수 없으며 기업의 개별적인 선택과 결정에서 비롯된 요소가 존재함을 시사한다.</w:t>
            </w:r>
          </w:p>
          <w:p w:rsidR="00000000" w:rsidDel="00000000" w:rsidP="00000000" w:rsidRDefault="00000000" w:rsidRPr="00000000" w14:paraId="0000000F">
            <w:pPr>
              <w:spacing w:line="276"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ff0000"/>
                <w:sz w:val="20"/>
                <w:szCs w:val="20"/>
                <w:rtl w:val="0"/>
              </w:rPr>
              <w:t xml:space="preserve">[ 문제인식2 ]</w:t>
            </w:r>
            <w:r w:rsidDel="00000000" w:rsidR="00000000" w:rsidRPr="00000000">
              <w:rPr>
                <w:rFonts w:ascii="Malgun Gothic" w:cs="Malgun Gothic" w:eastAsia="Malgun Gothic" w:hAnsi="Malgun Gothic"/>
                <w:b w:val="1"/>
                <w:bCs w:val="1"/>
                <w:sz w:val="20"/>
                <w:szCs w:val="20"/>
                <w:rtl w:val="0"/>
              </w:rPr>
              <w:t xml:space="preserve"> 전기·전자 101개사 중 절반 이상이 하위 등급에 몰려 있다. </w:t>
              <w:br w:type="textWrapping"/>
            </w:r>
            <w:r w:rsidDel="00000000" w:rsidR="00000000" w:rsidRPr="00000000">
              <w:rPr>
                <w:rFonts w:ascii="Malgun Gothic" w:cs="Malgun Gothic" w:eastAsia="Malgun Gothic" w:hAnsi="Malgun Gothic"/>
                <w:sz w:val="20"/>
                <w:szCs w:val="20"/>
                <w:rtl w:val="0"/>
              </w:rPr>
              <w:t xml:space="preserve">2025년 기준 등급 분포는 A+ 1개사, A 19개사, B+14개사, B 8개사, C 20개사, D 39개사이다. C·D 합계 59개사(58.4%)가 하위 구간에 속하며, 중간 등급인 B는 8개사(7.9%)에 불과해 상·하위 사이가 매우 얇기에 개선 필요성 및 수요가 존재한다고 추측 가능하다. </w:t>
            </w:r>
          </w:p>
          <w:p w:rsidR="00000000" w:rsidDel="00000000" w:rsidP="00000000" w:rsidRDefault="00000000" w:rsidRPr="00000000" w14:paraId="00000010">
            <w:pPr>
              <w:spacing w:line="276"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ff0000"/>
                <w:sz w:val="20"/>
                <w:szCs w:val="20"/>
                <w:rtl w:val="0"/>
              </w:rPr>
              <w:t xml:space="preserve">[ 문제인식3 ]</w:t>
            </w:r>
            <w:r w:rsidDel="00000000" w:rsidR="00000000" w:rsidRPr="00000000">
              <w:rPr>
                <w:rFonts w:ascii="Malgun Gothic" w:cs="Malgun Gothic" w:eastAsia="Malgun Gothic" w:hAnsi="Malgun Gothic"/>
                <w:b w:val="1"/>
                <w:bCs w:val="1"/>
                <w:sz w:val="20"/>
                <w:szCs w:val="20"/>
                <w:rtl w:val="0"/>
              </w:rPr>
              <w:t xml:space="preserve"> 하위 등급 구간에서 비재무 정보 공시가 단절되어 있다.</w:t>
              <w:br w:type="textWrapping"/>
            </w:r>
            <w:r w:rsidDel="00000000" w:rsidR="00000000" w:rsidRPr="00000000">
              <w:rPr>
                <w:rFonts w:ascii="Malgun Gothic" w:cs="Malgun Gothic" w:eastAsia="Malgun Gothic" w:hAnsi="Malgun Gothic"/>
                <w:sz w:val="20"/>
                <w:szCs w:val="20"/>
                <w:rtl w:val="0"/>
              </w:rPr>
              <w:t xml:space="preserve">전기·전자의 등급별 지속가능경영보고서 공시 비율은 A+ 100% → A 73.7% → B+ 28.6% → C 5% → D 0%로 급격히 떨어진다. 이 절벽 패턴은 유통·건설·화학 3개 업종에서도 공통으로 관찰되며(4개 업종 모두 D 등급 공시율 0%), 보고서 제출 여부가 상·하위 군을 거의 이분하는 변수처럼 작동한다.</w:t>
            </w:r>
          </w:p>
          <w:p w:rsidR="00000000" w:rsidDel="00000000" w:rsidP="00000000" w:rsidRDefault="00000000" w:rsidRPr="00000000" w14:paraId="00000011">
            <w:pPr>
              <w:spacing w:line="276"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12">
            <w:pPr>
              <w:spacing w:line="276"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2d49ff"/>
                <w:sz w:val="20"/>
                <w:szCs w:val="20"/>
                <w:rtl w:val="0"/>
              </w:rPr>
              <w:t xml:space="preserve">[ 필요성 1 ] </w:t>
            </w:r>
            <w:r w:rsidDel="00000000" w:rsidR="00000000" w:rsidRPr="00000000">
              <w:rPr>
                <w:rFonts w:ascii="Malgun Gothic" w:cs="Malgun Gothic" w:eastAsia="Malgun Gothic" w:hAnsi="Malgun Gothic"/>
                <w:b w:val="1"/>
                <w:bCs w:val="1"/>
                <w:sz w:val="20"/>
                <w:szCs w:val="20"/>
                <w:rtl w:val="0"/>
              </w:rPr>
              <w:t xml:space="preserve">자본조달 비용과의 직접적 상관성</w:t>
              <w:br w:type="textWrapping"/>
            </w:r>
            <w:hyperlink r:id="rId8">
              <w:r w:rsidDel="00000000" w:rsidR="00000000" w:rsidRPr="00000000">
                <w:rPr>
                  <w:rFonts w:ascii="Malgun Gothic" w:cs="Malgun Gothic" w:eastAsia="Malgun Gothic" w:hAnsi="Malgun Gothic"/>
                  <w:color w:val="1155cc"/>
                  <w:sz w:val="20"/>
                  <w:szCs w:val="20"/>
                  <w:u w:val="single"/>
                  <w:rtl w:val="0"/>
                </w:rPr>
                <w:t xml:space="preserve">MSCI ESG Research</w:t>
              </w:r>
            </w:hyperlink>
            <w:r w:rsidDel="00000000" w:rsidR="00000000" w:rsidRPr="00000000">
              <w:rPr>
                <w:rFonts w:ascii="Malgun Gothic" w:cs="Malgun Gothic" w:eastAsia="Malgun Gothic" w:hAnsi="Malgun Gothic"/>
                <w:sz w:val="20"/>
                <w:szCs w:val="20"/>
                <w:rtl w:val="0"/>
              </w:rPr>
              <w:t xml:space="preserve"> 등 주요 연구에 따르면, 우수한 ESG 등급은 기업의 자금조달비용을 실질적으로 낮추어 기업 밸류에이션에 직접적인 영향을 미친다.</w:t>
            </w:r>
          </w:p>
          <w:p w:rsidR="00000000" w:rsidDel="00000000" w:rsidP="00000000" w:rsidRDefault="00000000" w:rsidRPr="00000000" w14:paraId="00000013">
            <w:pPr>
              <w:spacing w:after="0" w:line="276"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2d49ff"/>
                <w:sz w:val="20"/>
                <w:szCs w:val="20"/>
                <w:rtl w:val="0"/>
              </w:rPr>
              <w:t xml:space="preserve">[ 필요성 2 ] </w:t>
            </w:r>
            <w:r w:rsidDel="00000000" w:rsidR="00000000" w:rsidRPr="00000000">
              <w:rPr>
                <w:rFonts w:ascii="Malgun Gothic" w:cs="Malgun Gothic" w:eastAsia="Malgun Gothic" w:hAnsi="Malgun Gothic"/>
                <w:b w:val="1"/>
                <w:bCs w:val="1"/>
                <w:sz w:val="20"/>
                <w:szCs w:val="20"/>
                <w:rtl w:val="0"/>
              </w:rPr>
              <w:t xml:space="preserve">전기·전자업종의 높은 자본·글로벌 의존도</w:t>
            </w:r>
          </w:p>
          <w:p w:rsidR="00000000" w:rsidDel="00000000" w:rsidP="00000000" w:rsidRDefault="00000000" w:rsidRPr="00000000" w14:paraId="00000014">
            <w:pPr>
              <w:spacing w:after="0" w:line="276"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전기·전자 산업은 글로벌</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자본 의존도가 높아 업종 내 ESG 등급 편차와 불확실성에 따른 자본조달 비용 리스크가 더욱 민감하게 작용한다.</w:t>
            </w:r>
          </w:p>
          <w:p w:rsidR="00000000" w:rsidDel="00000000" w:rsidP="00000000" w:rsidRDefault="00000000" w:rsidRPr="00000000" w14:paraId="00000015">
            <w:pPr>
              <w:spacing w:after="0" w:line="276"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2d49ff"/>
                <w:sz w:val="20"/>
                <w:szCs w:val="20"/>
                <w:rtl w:val="0"/>
              </w:rPr>
              <w:t xml:space="preserve">[ 필요성 3 ] </w:t>
            </w:r>
            <w:r w:rsidDel="00000000" w:rsidR="00000000" w:rsidRPr="00000000">
              <w:rPr>
                <w:rFonts w:ascii="Malgun Gothic" w:cs="Malgun Gothic" w:eastAsia="Malgun Gothic" w:hAnsi="Malgun Gothic"/>
                <w:b w:val="1"/>
                <w:bCs w:val="1"/>
                <w:sz w:val="20"/>
                <w:szCs w:val="20"/>
                <w:rtl w:val="0"/>
              </w:rPr>
              <w:t xml:space="preserve">공급망 규제 대응 필요성 증대</w:t>
            </w:r>
          </w:p>
          <w:p w:rsidR="00000000" w:rsidDel="00000000" w:rsidP="00000000" w:rsidRDefault="00000000" w:rsidRPr="00000000" w14:paraId="00000016">
            <w:pPr>
              <w:spacing w:after="0" w:line="276"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shd w:fill="fafbae" w:val="clear"/>
                <w:rtl w:val="0"/>
              </w:rPr>
              <w:t xml:space="preserve">EU의 공급망 실사지침(CSDDD) 도입과 RE100, CMRT(분쟁광물 배제) 등 협력사 데이터를 포함한 공급망 전반의 리스크 관리</w:t>
            </w:r>
            <w:r w:rsidDel="00000000" w:rsidR="00000000" w:rsidRPr="00000000">
              <w:rPr>
                <w:rFonts w:ascii="Malgun Gothic" w:cs="Malgun Gothic" w:eastAsia="Malgun Gothic" w:hAnsi="Malgun Gothic"/>
                <w:sz w:val="20"/>
                <w:szCs w:val="20"/>
                <w:rtl w:val="0"/>
              </w:rPr>
              <w:t xml:space="preserve">가 글로벌 시장 생존의 필수 요건으로 부상했다.</w:t>
            </w:r>
          </w:p>
          <w:p w:rsidR="00000000" w:rsidDel="00000000" w:rsidP="00000000" w:rsidRDefault="00000000" w:rsidRPr="00000000" w14:paraId="00000017">
            <w:pPr>
              <w:spacing w:after="0" w:line="276"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2d49ff"/>
                <w:sz w:val="20"/>
                <w:szCs w:val="20"/>
                <w:rtl w:val="0"/>
              </w:rPr>
              <w:t xml:space="preserve">[ 필요성 4 ] </w:t>
            </w:r>
            <w:r w:rsidDel="00000000" w:rsidR="00000000" w:rsidRPr="00000000">
              <w:rPr>
                <w:rFonts w:ascii="Malgun Gothic" w:cs="Malgun Gothic" w:eastAsia="Malgun Gothic" w:hAnsi="Malgun Gothic"/>
                <w:b w:val="1"/>
                <w:bCs w:val="1"/>
                <w:sz w:val="20"/>
                <w:szCs w:val="20"/>
                <w:rtl w:val="0"/>
              </w:rPr>
              <w:t xml:space="preserve">컨설팅 및 데이터 관리 전략 수립</w:t>
            </w:r>
          </w:p>
          <w:p w:rsidR="00000000" w:rsidDel="00000000" w:rsidP="00000000" w:rsidRDefault="00000000" w:rsidRPr="00000000" w14:paraId="00000018">
            <w:pPr>
              <w:spacing w:after="0" w:line="276"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이에 따라 </w:t>
            </w:r>
            <w:r w:rsidDel="00000000" w:rsidR="00000000" w:rsidRPr="00000000">
              <w:rPr>
                <w:rFonts w:ascii="Malgun Gothic" w:cs="Malgun Gothic" w:eastAsia="Malgun Gothic" w:hAnsi="Malgun Gothic"/>
                <w:sz w:val="20"/>
                <w:szCs w:val="20"/>
                <w:shd w:fill="fafbae" w:val="clear"/>
                <w:rtl w:val="0"/>
              </w:rPr>
              <w:t xml:space="preserve">전기·전자 기업의 ESG 개선 요인을 정량적으로 분석하고, 실질적인 리스크 완화와 자본비용 절감을 이끌어내는 맞춤형 ESG 컨설팅 전략</w:t>
            </w:r>
            <w:r w:rsidDel="00000000" w:rsidR="00000000" w:rsidRPr="00000000">
              <w:rPr>
                <w:rFonts w:ascii="Malgun Gothic" w:cs="Malgun Gothic" w:eastAsia="Malgun Gothic" w:hAnsi="Malgun Gothic"/>
                <w:sz w:val="20"/>
                <w:szCs w:val="20"/>
                <w:rtl w:val="0"/>
              </w:rPr>
              <w:t xml:space="preserve">을 제시하고자 한다.</w:t>
            </w:r>
          </w:p>
          <w:p w:rsidR="00000000" w:rsidDel="00000000" w:rsidP="00000000" w:rsidRDefault="00000000" w:rsidRPr="00000000" w14:paraId="00000019">
            <w:pPr>
              <w:spacing w:line="276" w:lineRule="auto"/>
              <w:rPr>
                <w:rFonts w:ascii="Malgun Gothic" w:cs="Malgun Gothic" w:eastAsia="Malgun Gothic" w:hAnsi="Malgun Gothic"/>
                <w:i w:val="1"/>
                <w:iCs w:val="1"/>
                <w:color w:val="999999"/>
                <w:sz w:val="20"/>
                <w:szCs w:val="20"/>
              </w:rPr>
            </w:pPr>
            <w:r w:rsidDel="00000000" w:rsidR="00000000" w:rsidRPr="00000000">
              <w:rPr>
                <w:rFonts w:ascii="Malgun Gothic" w:cs="Malgun Gothic" w:eastAsia="Malgun Gothic" w:hAnsi="Malgun Gothic"/>
                <w:i w:val="1"/>
                <w:iCs w:val="1"/>
                <w:color w:val="999999"/>
                <w:sz w:val="20"/>
                <w:szCs w:val="20"/>
                <w:rtl w:val="0"/>
              </w:rPr>
              <w:t xml:space="preserve">*필요성에 대한 EDA 추후 예정</w:t>
            </w:r>
          </w:p>
        </w:tc>
      </w:tr>
    </w:tbl>
    <w:p w:rsidR="00000000" w:rsidDel="00000000" w:rsidP="00000000" w:rsidRDefault="00000000" w:rsidRPr="00000000" w14:paraId="0000001A">
      <w:pPr>
        <w:widowControl w:val="1"/>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1B">
      <w:pPr>
        <w:spacing w:after="0" w:before="200" w:lineRule="auto"/>
        <w:ind w:left="32.00000000000003" w:firstLine="0"/>
        <w:jc w:val="both"/>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26"/>
          <w:szCs w:val="26"/>
          <w:rtl w:val="0"/>
        </w:rPr>
        <w:t xml:space="preserve">○ 주요 내용 : </w:t>
      </w:r>
      <w:r w:rsidDel="00000000" w:rsidR="00000000" w:rsidRPr="00000000">
        <w:rPr>
          <w:rtl w:val="0"/>
        </w:rPr>
      </w:r>
    </w:p>
    <w:tbl>
      <w:tblPr>
        <w:tblStyle w:val="Table4"/>
        <w:tblW w:w="9072.0" w:type="dxa"/>
        <w:jc w:val="left"/>
        <w:tblInd w:w="-3.0" w:type="dxa"/>
        <w:tblLayout w:type="fixed"/>
        <w:tblLook w:val="0400"/>
      </w:tblPr>
      <w:tblGrid>
        <w:gridCol w:w="9072"/>
        <w:tblGridChange w:id="0">
          <w:tblGrid>
            <w:gridCol w:w="9072"/>
          </w:tblGrid>
        </w:tblGridChange>
      </w:tblGrid>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1C">
            <w:pPr>
              <w:numPr>
                <w:ilvl w:val="0"/>
                <w:numId w:val="1"/>
              </w:numPr>
              <w:spacing w:after="0" w:before="120" w:lineRule="auto"/>
              <w:ind w:left="720" w:hanging="360"/>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분석대상 </w:t>
            </w:r>
          </w:p>
          <w:p w:rsidR="00000000" w:rsidDel="00000000" w:rsidP="00000000" w:rsidRDefault="00000000" w:rsidRPr="00000000" w14:paraId="0000001D">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모집단</w:t>
            </w:r>
            <w:r w:rsidDel="00000000" w:rsidR="00000000" w:rsidRPr="00000000">
              <w:rPr>
                <w:rFonts w:ascii="Malgun Gothic" w:cs="Malgun Gothic" w:eastAsia="Malgun Gothic" w:hAnsi="Malgun Gothic"/>
                <w:sz w:val="20"/>
                <w:szCs w:val="20"/>
                <w:rtl w:val="0"/>
              </w:rPr>
              <w:t xml:space="preserve">: KCGS 2025년 ESG 평가 대상 중 전기·전자 업종 101개사 전체</w:t>
            </w:r>
          </w:p>
          <w:p w:rsidR="00000000" w:rsidDel="00000000" w:rsidP="00000000" w:rsidRDefault="00000000" w:rsidRPr="00000000" w14:paraId="0000001E">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대조군</w:t>
            </w:r>
            <w:r w:rsidDel="00000000" w:rsidR="00000000" w:rsidRPr="00000000">
              <w:rPr>
                <w:rFonts w:ascii="Malgun Gothic" w:cs="Malgun Gothic" w:eastAsia="Malgun Gothic" w:hAnsi="Malgun Gothic"/>
                <w:sz w:val="20"/>
                <w:szCs w:val="20"/>
                <w:rtl w:val="0"/>
              </w:rPr>
              <w:t xml:space="preserve">: 화학 125개사, 유통 74개사, 건설 29개사. </w:t>
              <w:br w:type="textWrapping"/>
              <w:t xml:space="preserve">            이는 등급 편차 상위 업종이면서 표본 수가 확보되는 업종이다. </w:t>
              <w:br w:type="textWrapping"/>
              <w:t xml:space="preserve">            단, 건설은 등급 별로 나누면 1~8개사에 그쳐 비율 해석이 불안정하므로         </w:t>
              <w:br w:type="textWrapping"/>
              <w:t xml:space="preserve">            참고용으로만 사용한다.</w:t>
            </w:r>
          </w:p>
          <w:p w:rsidR="00000000" w:rsidDel="00000000" w:rsidP="00000000" w:rsidRDefault="00000000" w:rsidRPr="00000000" w14:paraId="0000001F">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관측 기간</w:t>
            </w:r>
            <w:r w:rsidDel="00000000" w:rsidR="00000000" w:rsidRPr="00000000">
              <w:rPr>
                <w:rFonts w:ascii="Malgun Gothic" w:cs="Malgun Gothic" w:eastAsia="Malgun Gothic" w:hAnsi="Malgun Gothic"/>
                <w:sz w:val="20"/>
                <w:szCs w:val="20"/>
                <w:rtl w:val="0"/>
              </w:rPr>
              <w:t xml:space="preserve">: KCGS 평가등급 2021~2025년(5개년) 데이터를 보유하고 있으나, </w:t>
              <w:br w:type="textWrapping"/>
              <w:t xml:space="preserve">                현재까지 완료된 EDA는 2025년 단년도에 해당된다.</w:t>
            </w:r>
          </w:p>
          <w:p w:rsidR="00000000" w:rsidDel="00000000" w:rsidP="00000000" w:rsidRDefault="00000000" w:rsidRPr="00000000" w14:paraId="00000020">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제외 대상</w:t>
            </w:r>
            <w:r w:rsidDel="00000000" w:rsidR="00000000" w:rsidRPr="00000000">
              <w:rPr>
                <w:rFonts w:ascii="Malgun Gothic" w:cs="Malgun Gothic" w:eastAsia="Malgun Gothic" w:hAnsi="Malgun Gothic"/>
                <w:sz w:val="20"/>
                <w:szCs w:val="20"/>
                <w:rtl w:val="0"/>
              </w:rPr>
              <w:t xml:space="preserve">: 없음.</w:t>
            </w:r>
          </w:p>
          <w:p w:rsidR="00000000" w:rsidDel="00000000" w:rsidP="00000000" w:rsidRDefault="00000000" w:rsidRPr="00000000" w14:paraId="00000021">
            <w:pPr>
              <w:spacing w:after="0" w:before="120" w:lineRule="auto"/>
              <w:ind w:left="72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2">
            <w:pPr>
              <w:spacing w:after="0" w:before="120" w:lineRule="auto"/>
              <w:ind w:left="72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3">
            <w:pPr>
              <w:numPr>
                <w:ilvl w:val="0"/>
                <w:numId w:val="1"/>
              </w:numPr>
              <w:spacing w:after="0" w:before="120" w:lineRule="auto"/>
              <w:ind w:left="720" w:hanging="360"/>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EDA</w:t>
            </w:r>
          </w:p>
          <w:p w:rsidR="00000000" w:rsidDel="00000000" w:rsidP="00000000" w:rsidRDefault="00000000" w:rsidRPr="00000000" w14:paraId="00000024">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1. 전기·전자는 업종 내 ESG 등급 편차가 큰 상위 업종이다.</w:t>
            </w:r>
            <w:r w:rsidDel="00000000" w:rsidR="00000000" w:rsidRPr="00000000">
              <w:rPr>
                <w:rFonts w:ascii="Malgun Gothic" w:cs="Malgun Gothic" w:eastAsia="Malgun Gothic" w:hAnsi="Malgun Gothic"/>
                <w:b w:val="1"/>
                <w:bCs w:val="1"/>
                <w:sz w:val="20"/>
                <w:szCs w:val="20"/>
              </w:rPr>
              <w:drawing>
                <wp:inline distB="114300" distT="114300" distL="114300" distR="114300">
                  <wp:extent cx="3357563" cy="2274831"/>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57563" cy="2274831"/>
                          </a:xfrm>
                          <a:prstGeom prst="rect"/>
                          <a:ln/>
                        </pic:spPr>
                      </pic:pic>
                    </a:graphicData>
                  </a:graphic>
                </wp:inline>
              </w:drawing>
            </w:r>
            <w:r w:rsidDel="00000000" w:rsidR="00000000" w:rsidRPr="00000000">
              <w:rPr>
                <w:rFonts w:ascii="Malgun Gothic" w:cs="Malgun Gothic" w:eastAsia="Malgun Gothic" w:hAnsi="Malgun Gothic"/>
                <w:b w:val="1"/>
                <w:bCs w:val="1"/>
                <w:sz w:val="20"/>
                <w:szCs w:val="20"/>
                <w:rtl w:val="0"/>
              </w:rPr>
              <w:br w:type="textWrapping"/>
              <w:t xml:space="preserve">-</w:t>
            </w:r>
            <w:r w:rsidDel="00000000" w:rsidR="00000000" w:rsidRPr="00000000">
              <w:rPr>
                <w:rFonts w:ascii="Malgun Gothic" w:cs="Malgun Gothic" w:eastAsia="Malgun Gothic" w:hAnsi="Malgun Gothic"/>
                <w:sz w:val="20"/>
                <w:szCs w:val="20"/>
                <w:rtl w:val="0"/>
              </w:rPr>
              <w:t xml:space="preserve">ESG 점수 표준편차 1.60, 전체 업종 중 4위. 상위 업종 간 표준편차 차이는 1.84~1.51로 크지 않다. 따라서 전기·전자가 유독 양극화된 업종이라기보다는 양극화가 큰 업종군에 속하며, 그 중 표본 수가 충분한 업종으로 부합한다.</w:t>
            </w:r>
          </w:p>
          <w:p w:rsidR="00000000" w:rsidDel="00000000" w:rsidP="00000000" w:rsidRDefault="00000000" w:rsidRPr="00000000" w14:paraId="00000025">
            <w:pPr>
              <w:spacing w:after="0" w:before="120" w:lineRule="auto"/>
              <w:ind w:left="72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6">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2. 전기·전자는 등급 구간별 분석에 필요한 표본이 확보된다.</w:t>
            </w:r>
            <w:r w:rsidDel="00000000" w:rsidR="00000000" w:rsidRPr="00000000">
              <w:rPr>
                <w:rFonts w:ascii="Malgun Gothic" w:cs="Malgun Gothic" w:eastAsia="Malgun Gothic" w:hAnsi="Malgun Gothic"/>
                <w:b w:val="1"/>
                <w:bCs w:val="1"/>
                <w:sz w:val="20"/>
                <w:szCs w:val="20"/>
              </w:rPr>
              <w:drawing>
                <wp:inline distB="114300" distT="114300" distL="114300" distR="114300">
                  <wp:extent cx="3376613" cy="2274282"/>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76613" cy="2274282"/>
                          </a:xfrm>
                          <a:prstGeom prst="rect"/>
                          <a:ln/>
                        </pic:spPr>
                      </pic:pic>
                    </a:graphicData>
                  </a:graphic>
                </wp:inline>
              </w:drawing>
            </w:r>
            <w:r w:rsidDel="00000000" w:rsidR="00000000" w:rsidRPr="00000000">
              <w:rPr>
                <w:rFonts w:ascii="Malgun Gothic" w:cs="Malgun Gothic" w:eastAsia="Malgun Gothic" w:hAnsi="Malgun Gothic"/>
                <w:b w:val="1"/>
                <w:bCs w:val="1"/>
                <w:sz w:val="20"/>
                <w:szCs w:val="20"/>
                <w:rtl w:val="0"/>
              </w:rPr>
              <w:br w:type="textWrapping"/>
            </w:r>
            <w:r w:rsidDel="00000000" w:rsidR="00000000" w:rsidRPr="00000000">
              <w:rPr>
                <w:rFonts w:ascii="Malgun Gothic" w:cs="Malgun Gothic" w:eastAsia="Malgun Gothic" w:hAnsi="Malgun Gothic"/>
                <w:sz w:val="20"/>
                <w:szCs w:val="20"/>
                <w:rtl w:val="0"/>
              </w:rPr>
              <w:t xml:space="preserve">-2025년 평가 대상 기업 수 전기·전자 101개사. 101개사는 6개 등급 구간으로 나눠도 각 구간에 최소 1~39개사가 배정되어 구간별 특성 비교가 가능한 규모이다. 편차가 가장 큰 유통(74개사)이나 건설(29개사)보다 표본이 크다는 점이 전기·전자 업종을 주 분석 대상으로 선택한 근거이다.</w:t>
            </w:r>
          </w:p>
          <w:p w:rsidR="00000000" w:rsidDel="00000000" w:rsidP="00000000" w:rsidRDefault="00000000" w:rsidRPr="00000000" w14:paraId="00000027">
            <w:pPr>
              <w:spacing w:after="0" w:before="12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8">
            <w:pPr>
              <w:spacing w:after="0" w:before="120" w:lineRule="auto"/>
              <w:ind w:left="72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9">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3. 전기·전자 등급 분포는 중간이 비어 있는 하위 편중 구조다.</w:t>
            </w:r>
            <w:r w:rsidDel="00000000" w:rsidR="00000000" w:rsidRPr="00000000">
              <w:rPr>
                <w:rFonts w:ascii="Malgun Gothic" w:cs="Malgun Gothic" w:eastAsia="Malgun Gothic" w:hAnsi="Malgun Gothic"/>
                <w:b w:val="1"/>
                <w:bCs w:val="1"/>
                <w:sz w:val="20"/>
                <w:szCs w:val="20"/>
              </w:rPr>
              <w:drawing>
                <wp:inline distB="114300" distT="114300" distL="114300" distR="114300">
                  <wp:extent cx="3386138" cy="2284623"/>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386138" cy="228462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-A+ 1개사(1.0%) / A 19개사(18.8%) / B+ 14개사(13.9%) / B 8개사(7.9%) / C 20 개사(19.8%) / D 39개사(38.6%). 상위군(A+·A·B+) 34개사(33.7%), 하위군(C·D) 59개사(58.4%), 그 사이에 있는 B는 8개사(7.9%)에 불과하다. </w:t>
            </w:r>
          </w:p>
          <w:p w:rsidR="00000000" w:rsidDel="00000000" w:rsidP="00000000" w:rsidRDefault="00000000" w:rsidRPr="00000000" w14:paraId="0000002B">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-ESG 등급 편차는 실제로 양극화에서 비롯된 것으로 확인된다. 개선 컨설팅에서 중요한 것은 적은 B 구간이다. 하위 59개사가 상위로 이동하려면 B를 지나야 하며, 이는 C와 B+ 사이에 연속적 개선으로는 넘기 어려울 가능성을 시사한다. </w:t>
            </w:r>
          </w:p>
          <w:p w:rsidR="00000000" w:rsidDel="00000000" w:rsidP="00000000" w:rsidRDefault="00000000" w:rsidRPr="00000000" w14:paraId="0000002C">
            <w:pPr>
              <w:spacing w:after="0" w:before="120" w:lineRule="auto"/>
              <w:ind w:left="72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D">
            <w:pPr>
              <w:spacing w:after="0" w:before="120" w:lineRule="auto"/>
              <w:ind w:left="720" w:firstLine="0"/>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shd w:fill="fafbae" w:val="clear"/>
                <w:rtl w:val="0"/>
              </w:rPr>
              <w:t xml:space="preserve">4. 지속가능경영보고서 공시 비율에 뚜렷한 격차가 존재한다.</w:t>
            </w:r>
            <w:r w:rsidDel="00000000" w:rsidR="00000000" w:rsidRPr="00000000">
              <w:rPr>
                <w:rFonts w:ascii="Malgun Gothic" w:cs="Malgun Gothic" w:eastAsia="Malgun Gothic" w:hAnsi="Malgun Gothic"/>
                <w:b w:val="1"/>
                <w:bCs w:val="1"/>
                <w:sz w:val="20"/>
                <w:szCs w:val="20"/>
              </w:rPr>
              <w:drawing>
                <wp:inline distB="114300" distT="114300" distL="114300" distR="114300">
                  <wp:extent cx="5166227" cy="2351097"/>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66227" cy="235109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-전기·전자 등급별 공시 비율: A+ 100% / A 73.7% / B+ 28.6% / B 50% / C 5% / D 0%</w:t>
            </w:r>
          </w:p>
          <w:p w:rsidR="00000000" w:rsidDel="00000000" w:rsidP="00000000" w:rsidRDefault="00000000" w:rsidRPr="00000000" w14:paraId="0000002F">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-4개 업종 공통 패턴: </w:t>
            </w:r>
            <w:r w:rsidDel="00000000" w:rsidR="00000000" w:rsidRPr="00000000">
              <w:rPr>
                <w:rFonts w:ascii="Malgun Gothic" w:cs="Malgun Gothic" w:eastAsia="Malgun Gothic" w:hAnsi="Malgun Gothic"/>
                <w:sz w:val="20"/>
                <w:szCs w:val="20"/>
                <w:shd w:fill="fafbae" w:val="clear"/>
                <w:rtl w:val="0"/>
              </w:rPr>
              <w:t xml:space="preserve">A등급 이상에서 73%~100%로 높게 유지</w:t>
            </w:r>
            <w:r w:rsidDel="00000000" w:rsidR="00000000" w:rsidRPr="00000000">
              <w:rPr>
                <w:rFonts w:ascii="Malgun Gothic" w:cs="Malgun Gothic" w:eastAsia="Malgun Gothic" w:hAnsi="Malgun Gothic"/>
                <w:sz w:val="20"/>
                <w:szCs w:val="20"/>
                <w:rtl w:val="0"/>
              </w:rPr>
              <w:t xml:space="preserve">되다가 B+ 이하에서 급락하며, </w:t>
            </w:r>
            <w:r w:rsidDel="00000000" w:rsidR="00000000" w:rsidRPr="00000000">
              <w:rPr>
                <w:rFonts w:ascii="Malgun Gothic" w:cs="Malgun Gothic" w:eastAsia="Malgun Gothic" w:hAnsi="Malgun Gothic"/>
                <w:sz w:val="20"/>
                <w:szCs w:val="20"/>
                <w:shd w:fill="fafbae" w:val="clear"/>
                <w:rtl w:val="0"/>
              </w:rPr>
              <w:t xml:space="preserve">C·D 구간은 사실상 0%</w:t>
            </w:r>
            <w:r w:rsidDel="00000000" w:rsidR="00000000" w:rsidRPr="00000000">
              <w:rPr>
                <w:rFonts w:ascii="Malgun Gothic" w:cs="Malgun Gothic" w:eastAsia="Malgun Gothic" w:hAnsi="Malgun Gothic"/>
                <w:sz w:val="20"/>
                <w:szCs w:val="20"/>
                <w:rtl w:val="0"/>
              </w:rPr>
              <w:t xml:space="preserve">이다. (전기·전자 C 5%가 유일한 예외로 20개사 중 1개사)</w:t>
            </w:r>
          </w:p>
          <w:p w:rsidR="00000000" w:rsidDel="00000000" w:rsidP="00000000" w:rsidRDefault="00000000" w:rsidRPr="00000000" w14:paraId="00000030">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-보고서 발행 여부가 상위와 하위 등급을 이분하는 변수처럼 작동한다. 이 변수는 온실가스 배출량처럼 등급 산출식의 직접적인 기준 지표가 아니라, 기업이 예산과 인력을 배정해 선택할 수 있는 행동 변수이다. </w:t>
            </w:r>
          </w:p>
          <w:p w:rsidR="00000000" w:rsidDel="00000000" w:rsidP="00000000" w:rsidRDefault="00000000" w:rsidRPr="00000000" w14:paraId="00000031">
            <w:pPr>
              <w:spacing w:after="0" w:before="120" w:lineRule="auto"/>
              <w:ind w:left="72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2">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shd w:fill="fafbae" w:val="clear"/>
                <w:rtl w:val="0"/>
              </w:rPr>
              <w:t xml:space="preserve">5. 최하위 등급의 문제는 ESG 전 영역의 미흡이다.</w:t>
            </w:r>
            <w:r w:rsidDel="00000000" w:rsidR="00000000" w:rsidRPr="00000000">
              <w:rPr>
                <w:rFonts w:ascii="Malgun Gothic" w:cs="Malgun Gothic" w:eastAsia="Malgun Gothic" w:hAnsi="Malgun Gothic"/>
                <w:b w:val="1"/>
                <w:bCs w:val="1"/>
                <w:sz w:val="20"/>
                <w:szCs w:val="20"/>
              </w:rPr>
              <w:drawing>
                <wp:inline distB="114300" distT="114300" distL="114300" distR="114300">
                  <wp:extent cx="5165119" cy="2132469"/>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165119" cy="213246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before="120" w:lineRule="auto"/>
              <w:ind w:left="720" w:firstLine="0"/>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b w:val="1"/>
                <w:bCs w:val="1"/>
                <w:sz w:val="20"/>
                <w:szCs w:val="20"/>
                <w:rtl w:val="0"/>
              </w:rPr>
              <w:t xml:space="preserve">벤치마크 3사 </w:t>
            </w:r>
            <w:r w:rsidDel="00000000" w:rsidR="00000000" w:rsidRPr="00000000">
              <w:rPr>
                <w:rFonts w:ascii="Malgun Gothic" w:cs="Malgun Gothic" w:eastAsia="Malgun Gothic" w:hAnsi="Malgun Gothic"/>
                <w:sz w:val="20"/>
                <w:szCs w:val="20"/>
                <w:rtl w:val="0"/>
              </w:rPr>
              <w:t xml:space="preserve">(HD 현대일렉트릭(E:A+/S:A+/G:A), LG 이노텍(E:A/S:A+/G:A), 엘에스일렉트릭(E:A+/S:A/G:A)</w:t>
              <w:br w:type="textWrapping"/>
              <w:t xml:space="preserve">-</w:t>
            </w:r>
            <w:r w:rsidDel="00000000" w:rsidR="00000000" w:rsidRPr="00000000">
              <w:rPr>
                <w:rFonts w:ascii="Malgun Gothic" w:cs="Malgun Gothic" w:eastAsia="Malgun Gothic" w:hAnsi="Malgun Gothic"/>
                <w:b w:val="1"/>
                <w:bCs w:val="1"/>
                <w:sz w:val="20"/>
                <w:szCs w:val="20"/>
                <w:rtl w:val="0"/>
              </w:rPr>
              <w:t xml:space="preserve">최하위 3사 </w:t>
            </w:r>
            <w:r w:rsidDel="00000000" w:rsidR="00000000" w:rsidRPr="00000000">
              <w:rPr>
                <w:rFonts w:ascii="Malgun Gothic" w:cs="Malgun Gothic" w:eastAsia="Malgun Gothic" w:hAnsi="Malgun Gothic"/>
                <w:sz w:val="20"/>
                <w:szCs w:val="20"/>
                <w:rtl w:val="0"/>
              </w:rPr>
              <w:t xml:space="preserve">(아남전자, 에스피지, 주연테크 3사 모두 E·S·G 전 영역 D)</w:t>
            </w:r>
            <w:r w:rsidDel="00000000" w:rsidR="00000000" w:rsidRPr="00000000">
              <w:rPr>
                <w:rtl w:val="0"/>
              </w:rPr>
            </w:r>
          </w:p>
          <w:p w:rsidR="00000000" w:rsidDel="00000000" w:rsidP="00000000" w:rsidRDefault="00000000" w:rsidRPr="00000000" w14:paraId="00000034">
            <w:pPr>
              <w:spacing w:after="0" w:before="120" w:lineRule="auto"/>
              <w:ind w:left="720" w:firstLine="0"/>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[유의] 기업 규모가 ESG 등급을 강하게 설명한다</w:t>
            </w:r>
          </w:p>
          <w:p w:rsidR="00000000" w:rsidDel="00000000" w:rsidP="00000000" w:rsidRDefault="00000000" w:rsidRPr="00000000" w14:paraId="00000035">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-규모의 반영이 강력하다. 규모 통제는 필수 전제이며, 이를 생략한 개선 제안은 큰 회사가 되라는 말과 다르지 않다. 그러나 개별 사례는 단조적이지 않다. 표본 내 최대 기업인 삼성전자(시가총액 약 709조원)의 ESG 통합등급은 A이다. </w:t>
              <w:br w:type="textWrapping"/>
            </w:r>
            <w:r w:rsidDel="00000000" w:rsidR="00000000" w:rsidRPr="00000000">
              <w:rPr>
                <w:rFonts w:ascii="Malgun Gothic" w:cs="Malgun Gothic" w:eastAsia="Malgun Gothic" w:hAnsi="Malgun Gothic"/>
                <w:sz w:val="20"/>
                <w:szCs w:val="20"/>
              </w:rPr>
              <w:drawing>
                <wp:inline distB="114300" distT="114300" distL="114300" distR="114300">
                  <wp:extent cx="4852988" cy="2299216"/>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852988" cy="229921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
              </w:numPr>
              <w:spacing w:after="0" w:before="120" w:lineRule="auto"/>
              <w:ind w:left="720" w:hanging="360"/>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분석 가설</w:t>
            </w:r>
          </w:p>
          <w:p w:rsidR="00000000" w:rsidDel="00000000" w:rsidP="00000000" w:rsidRDefault="00000000" w:rsidRPr="00000000" w14:paraId="00000037">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b w:val="1"/>
                <w:bCs w:val="1"/>
                <w:sz w:val="20"/>
                <w:szCs w:val="20"/>
                <w:rtl w:val="0"/>
              </w:rPr>
              <w:t xml:space="preserve">가설1</w:t>
            </w:r>
            <w:r w:rsidDel="00000000" w:rsidR="00000000" w:rsidRPr="00000000">
              <w:rPr>
                <w:rFonts w:ascii="Malgun Gothic" w:cs="Malgun Gothic" w:eastAsia="Malgun Gothic" w:hAnsi="Malgun Gothic"/>
                <w:sz w:val="20"/>
                <w:szCs w:val="20"/>
                <w:rtl w:val="0"/>
              </w:rPr>
              <w:t xml:space="preserve">: 전기·전자 업종 내 ESG 등급 격차 중 기업 규모로 설명되지 않는 부분이 유의한 크기로 존재한다. </w:t>
            </w:r>
          </w:p>
          <w:p w:rsidR="00000000" w:rsidDel="00000000" w:rsidP="00000000" w:rsidRDefault="00000000" w:rsidRPr="00000000" w14:paraId="00000038">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b w:val="1"/>
                <w:bCs w:val="1"/>
                <w:sz w:val="20"/>
                <w:szCs w:val="20"/>
                <w:rtl w:val="0"/>
              </w:rPr>
              <w:t xml:space="preserve">가설2</w:t>
            </w:r>
            <w:r w:rsidDel="00000000" w:rsidR="00000000" w:rsidRPr="00000000">
              <w:rPr>
                <w:rFonts w:ascii="Malgun Gothic" w:cs="Malgun Gothic" w:eastAsia="Malgun Gothic" w:hAnsi="Malgun Gothic"/>
                <w:sz w:val="20"/>
                <w:szCs w:val="20"/>
                <w:rtl w:val="0"/>
              </w:rPr>
              <w:t xml:space="preserve">: 등급 산출식 밖의 행동 변수, 특히 지속가능경영보고서 발행 여부가 규모를 통제한 뒤에도 C·D 구간과 B+ 이상 구간을 가른다. </w:t>
            </w:r>
          </w:p>
          <w:p w:rsidR="00000000" w:rsidDel="00000000" w:rsidP="00000000" w:rsidRDefault="00000000" w:rsidRPr="00000000" w14:paraId="00000039">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b w:val="1"/>
                <w:bCs w:val="1"/>
                <w:sz w:val="20"/>
                <w:szCs w:val="20"/>
                <w:rtl w:val="0"/>
              </w:rPr>
              <w:t xml:space="preserve">가설3</w:t>
            </w:r>
            <w:r w:rsidDel="00000000" w:rsidR="00000000" w:rsidRPr="00000000">
              <w:rPr>
                <w:rFonts w:ascii="Malgun Gothic" w:cs="Malgun Gothic" w:eastAsia="Malgun Gothic" w:hAnsi="Malgun Gothic"/>
                <w:sz w:val="20"/>
                <w:szCs w:val="20"/>
                <w:rtl w:val="0"/>
              </w:rPr>
              <w:t xml:space="preserve">: 하위 등급의 개선 경로는 개별 지표 개선이 아니라 관리 체계 수립 순서(거버넌스 → 위험 관리 → 성과 → 공시)로 설계한다. </w:t>
            </w:r>
          </w:p>
          <w:p w:rsidR="00000000" w:rsidDel="00000000" w:rsidP="00000000" w:rsidRDefault="00000000" w:rsidRPr="00000000" w14:paraId="0000003A">
            <w:pPr>
              <w:numPr>
                <w:ilvl w:val="0"/>
                <w:numId w:val="3"/>
              </w:numPr>
              <w:spacing w:after="0" w:before="12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분석 원칙</w:t>
            </w:r>
            <w:r w:rsidDel="00000000" w:rsidR="00000000" w:rsidRPr="00000000">
              <w:rPr>
                <w:rtl w:val="0"/>
              </w:rPr>
            </w:r>
          </w:p>
          <w:p w:rsidR="00000000" w:rsidDel="00000000" w:rsidP="00000000" w:rsidRDefault="00000000" w:rsidRPr="00000000" w14:paraId="0000003B">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-동어반복 변수 배제</w:t>
            </w:r>
          </w:p>
          <w:p w:rsidR="00000000" w:rsidDel="00000000" w:rsidP="00000000" w:rsidRDefault="00000000" w:rsidRPr="00000000" w14:paraId="0000003C">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-인과 표현 금지</w:t>
            </w:r>
          </w:p>
          <w:p w:rsidR="00000000" w:rsidDel="00000000" w:rsidP="00000000" w:rsidRDefault="00000000" w:rsidRPr="00000000" w14:paraId="0000003D">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-순환논증 회피</w:t>
            </w:r>
          </w:p>
          <w:p w:rsidR="00000000" w:rsidDel="00000000" w:rsidP="00000000" w:rsidRDefault="00000000" w:rsidRPr="00000000" w14:paraId="0000003E">
            <w:pPr>
              <w:spacing w:after="0" w:before="12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-표본 규모 명시</w:t>
            </w:r>
          </w:p>
          <w:p w:rsidR="00000000" w:rsidDel="00000000" w:rsidP="00000000" w:rsidRDefault="00000000" w:rsidRPr="00000000" w14:paraId="0000003F">
            <w:pPr>
              <w:spacing w:after="0" w:before="120" w:lineRule="auto"/>
              <w:ind w:left="72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40">
            <w:pPr>
              <w:numPr>
                <w:ilvl w:val="0"/>
                <w:numId w:val="1"/>
              </w:numPr>
              <w:spacing w:after="0" w:before="120" w:lineRule="auto"/>
              <w:ind w:left="720" w:hanging="360"/>
              <w:jc w:val="both"/>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산출물</w:t>
            </w:r>
          </w:p>
          <w:p w:rsidR="00000000" w:rsidDel="00000000" w:rsidP="00000000" w:rsidRDefault="00000000" w:rsidRPr="00000000" w14:paraId="00000041">
            <w:pPr>
              <w:spacing w:after="0" w:before="120" w:lineRule="auto"/>
              <w:ind w:left="72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shd w:fill="fafbae" w:val="clear"/>
                <w:rtl w:val="0"/>
              </w:rPr>
              <w:t xml:space="preserve">전기·전자 업종 ESG 등급 개선 컨설팅 제안서</w:t>
            </w:r>
            <w:r w:rsidDel="00000000" w:rsidR="00000000" w:rsidRPr="00000000">
              <w:rPr>
                <w:rFonts w:ascii="Malgun Gothic" w:cs="Malgun Gothic" w:eastAsia="Malgun Gothic" w:hAnsi="Malgun Gothic"/>
                <w:sz w:val="20"/>
                <w:szCs w:val="20"/>
                <w:rtl w:val="0"/>
              </w:rPr>
              <w:t xml:space="preserve">(예측 서비스 프로토타입은 추가 범위)</w:t>
            </w:r>
          </w:p>
          <w:p w:rsidR="00000000" w:rsidDel="00000000" w:rsidP="00000000" w:rsidRDefault="00000000" w:rsidRPr="00000000" w14:paraId="00000042">
            <w:pPr>
              <w:spacing w:after="0" w:before="120" w:lineRule="auto"/>
              <w:ind w:left="720" w:firstLine="0"/>
              <w:jc w:val="both"/>
              <w:rPr>
                <w:rFonts w:ascii="Malgun Gothic" w:cs="Malgun Gothic" w:eastAsia="Malgun Gothic" w:hAnsi="Malgun Gothic"/>
                <w:sz w:val="20"/>
                <w:szCs w:val="20"/>
                <w:shd w:fill="fafbae" w:val="clear"/>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shd w:fill="fafbae" w:val="clear"/>
                <w:rtl w:val="0"/>
              </w:rPr>
              <w:t xml:space="preserve">23~25년 ESG 등급 상승 기업 23개사 (연속상승 3개사) 대상을 모범 사례</w:t>
            </w:r>
            <w:r w:rsidDel="00000000" w:rsidR="00000000" w:rsidRPr="00000000">
              <w:rPr>
                <w:rFonts w:ascii="Malgun Gothic" w:cs="Malgun Gothic" w:eastAsia="Malgun Gothic" w:hAnsi="Malgun Gothic"/>
                <w:sz w:val="20"/>
                <w:szCs w:val="20"/>
                <w:rtl w:val="0"/>
              </w:rPr>
              <w:t xml:space="preserve">로 삼아</w:t>
              <w:br w:type="textWrapping"/>
              <w:t xml:space="preserve">  등급 구간별(C·D / B+·B / A 이상) 개선 </w:t>
            </w:r>
            <w:r w:rsidDel="00000000" w:rsidR="00000000" w:rsidRPr="00000000">
              <w:rPr>
                <w:rFonts w:ascii="Malgun Gothic" w:cs="Malgun Gothic" w:eastAsia="Malgun Gothic" w:hAnsi="Malgun Gothic"/>
                <w:sz w:val="20"/>
                <w:szCs w:val="20"/>
                <w:shd w:fill="fafbae" w:val="clear"/>
                <w:rtl w:val="0"/>
              </w:rPr>
              <w:t xml:space="preserve">우선순위 제안</w:t>
            </w:r>
            <w:r w:rsidDel="00000000" w:rsidR="00000000" w:rsidRPr="00000000">
              <w:rPr>
                <w:rtl w:val="0"/>
              </w:rPr>
            </w:r>
          </w:p>
        </w:tc>
      </w:tr>
    </w:tbl>
    <w:p w:rsidR="00000000" w:rsidDel="00000000" w:rsidP="00000000" w:rsidRDefault="00000000" w:rsidRPr="00000000" w14:paraId="00000043">
      <w:pPr>
        <w:spacing w:after="0" w:before="200" w:lineRule="auto"/>
        <w:ind w:left="1018" w:firstLine="0"/>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4">
      <w:pPr>
        <w:spacing w:after="0" w:before="200" w:lineRule="auto"/>
        <w:ind w:left="0" w:firstLine="0"/>
        <w:jc w:val="both"/>
        <w:rPr>
          <w:rFonts w:ascii="Malgun Gothic" w:cs="Malgun Gothic" w:eastAsia="Malgun Gothic" w:hAnsi="Malgun Gothic"/>
          <w:sz w:val="30"/>
          <w:szCs w:val="30"/>
        </w:rPr>
      </w:pPr>
      <w:r w:rsidDel="00000000" w:rsidR="00000000" w:rsidRPr="00000000">
        <w:rPr>
          <w:rtl w:val="0"/>
        </w:rPr>
      </w:r>
    </w:p>
    <w:p w:rsidR="00000000" w:rsidDel="00000000" w:rsidP="00000000" w:rsidRDefault="00000000" w:rsidRPr="00000000" w14:paraId="00000045">
      <w:pPr>
        <w:spacing w:after="0" w:before="200" w:lineRule="auto"/>
        <w:ind w:left="0" w:firstLine="0"/>
        <w:jc w:val="both"/>
        <w:rPr>
          <w:rFonts w:ascii="Malgun Gothic" w:cs="Malgun Gothic" w:eastAsia="Malgun Gothic" w:hAnsi="Malgun Gothic"/>
          <w:color w:val="2d49ff"/>
          <w:sz w:val="24"/>
          <w:szCs w:val="24"/>
        </w:rPr>
      </w:pPr>
      <w:r w:rsidDel="00000000" w:rsidR="00000000" w:rsidRPr="00000000">
        <w:rPr>
          <w:rFonts w:ascii="Malgun Gothic" w:cs="Malgun Gothic" w:eastAsia="Malgun Gothic" w:hAnsi="Malgun Gothic"/>
          <w:b w:val="1"/>
          <w:bCs w:val="1"/>
          <w:sz w:val="30"/>
          <w:szCs w:val="30"/>
          <w:rtl w:val="0"/>
        </w:rPr>
        <w:t xml:space="preserve">□</w:t>
      </w:r>
      <w:r w:rsidDel="00000000" w:rsidR="00000000" w:rsidRPr="00000000">
        <w:rPr>
          <w:rFonts w:ascii="Malgun Gothic" w:cs="Malgun Gothic" w:eastAsia="Malgun Gothic" w:hAnsi="Malgun Gothic"/>
          <w:b w:val="1"/>
          <w:bCs w:val="1"/>
          <w:sz w:val="32"/>
          <w:szCs w:val="32"/>
          <w:rtl w:val="0"/>
        </w:rPr>
        <w:t xml:space="preserve"> 활용 데이터</w:t>
        <w:br w:type="textWrapping"/>
      </w:r>
      <w:r w:rsidDel="00000000" w:rsidR="00000000" w:rsidRPr="00000000">
        <w:rPr>
          <w:rtl w:val="0"/>
        </w:rPr>
      </w:r>
    </w:p>
    <w:tbl>
      <w:tblPr>
        <w:tblStyle w:val="Table5"/>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60"/>
        <w:gridCol w:w="1185"/>
        <w:gridCol w:w="825"/>
        <w:gridCol w:w="810"/>
        <w:gridCol w:w="705"/>
        <w:gridCol w:w="3525"/>
        <w:tblGridChange w:id="0">
          <w:tblGrid>
            <w:gridCol w:w="2460"/>
            <w:gridCol w:w="1185"/>
            <w:gridCol w:w="825"/>
            <w:gridCol w:w="810"/>
            <w:gridCol w:w="705"/>
            <w:gridCol w:w="352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e5e5e5" w:val="clear"/>
            <w:tcMar>
              <w:top w:w="85.0" w:type="dxa"/>
              <w:left w:w="57.0" w:type="dxa"/>
              <w:bottom w:w="85.0" w:type="dxa"/>
              <w:right w:w="57.0" w:type="dxa"/>
            </w:tcMar>
            <w:vAlign w:val="center"/>
          </w:tcPr>
          <w:p w:rsidR="00000000" w:rsidDel="00000000" w:rsidP="00000000" w:rsidRDefault="00000000" w:rsidRPr="00000000" w14:paraId="00000046">
            <w:pPr>
              <w:spacing w:after="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활용 데이터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5e5" w:val="clear"/>
            <w:tcMar>
              <w:top w:w="85.0" w:type="dxa"/>
              <w:left w:w="57.0" w:type="dxa"/>
              <w:bottom w:w="85.0" w:type="dxa"/>
              <w:right w:w="57.0" w:type="dxa"/>
            </w:tcMar>
            <w:vAlign w:val="center"/>
          </w:tcPr>
          <w:p w:rsidR="00000000" w:rsidDel="00000000" w:rsidP="00000000" w:rsidRDefault="00000000" w:rsidRPr="00000000" w14:paraId="00000047">
            <w:pPr>
              <w:spacing w:after="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5e5" w:val="clear"/>
            <w:tcMar>
              <w:top w:w="85.0" w:type="dxa"/>
              <w:left w:w="57.0" w:type="dxa"/>
              <w:bottom w:w="85.0" w:type="dxa"/>
              <w:right w:w="57.0" w:type="dxa"/>
            </w:tcMar>
            <w:vAlign w:val="center"/>
          </w:tcPr>
          <w:p w:rsidR="00000000" w:rsidDel="00000000" w:rsidP="00000000" w:rsidRDefault="00000000" w:rsidRPr="00000000" w14:paraId="00000048">
            <w:pPr>
              <w:spacing w:after="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중요도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5e5" w:val="clear"/>
            <w:tcMar>
              <w:top w:w="85.0" w:type="dxa"/>
              <w:left w:w="57.0" w:type="dxa"/>
              <w:bottom w:w="85.0" w:type="dxa"/>
              <w:right w:w="57.0" w:type="dxa"/>
            </w:tcMar>
            <w:vAlign w:val="center"/>
          </w:tcPr>
          <w:p w:rsidR="00000000" w:rsidDel="00000000" w:rsidP="00000000" w:rsidRDefault="00000000" w:rsidRPr="00000000" w14:paraId="00000049">
            <w:pPr>
              <w:spacing w:after="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생성</w:t>
            </w:r>
            <w:r w:rsidDel="00000000" w:rsidR="00000000" w:rsidRPr="00000000">
              <w:rPr>
                <w:rtl w:val="0"/>
              </w:rPr>
            </w:r>
          </w:p>
          <w:p w:rsidR="00000000" w:rsidDel="00000000" w:rsidP="00000000" w:rsidRDefault="00000000" w:rsidRPr="00000000" w14:paraId="0000004A">
            <w:pPr>
              <w:spacing w:after="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주기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5e5" w:val="clear"/>
            <w:tcMar>
              <w:top w:w="85.0" w:type="dxa"/>
              <w:left w:w="57.0" w:type="dxa"/>
              <w:bottom w:w="85.0" w:type="dxa"/>
              <w:right w:w="57.0" w:type="dxa"/>
            </w:tcMar>
            <w:vAlign w:val="center"/>
          </w:tcPr>
          <w:p w:rsidR="00000000" w:rsidDel="00000000" w:rsidP="00000000" w:rsidRDefault="00000000" w:rsidRPr="00000000" w14:paraId="0000004B">
            <w:pPr>
              <w:spacing w:after="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지역</w:t>
            </w:r>
            <w:r w:rsidDel="00000000" w:rsidR="00000000" w:rsidRPr="00000000">
              <w:rPr>
                <w:rtl w:val="0"/>
              </w:rPr>
            </w:r>
          </w:p>
          <w:p w:rsidR="00000000" w:rsidDel="00000000" w:rsidP="00000000" w:rsidRDefault="00000000" w:rsidRPr="00000000" w14:paraId="0000004C">
            <w:pPr>
              <w:spacing w:after="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속성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5e5" w:val="clear"/>
            <w:tcMar>
              <w:top w:w="85.0" w:type="dxa"/>
              <w:left w:w="57.0" w:type="dxa"/>
              <w:bottom w:w="85.0" w:type="dxa"/>
              <w:right w:w="57.0" w:type="dxa"/>
            </w:tcMar>
            <w:vAlign w:val="center"/>
          </w:tcPr>
          <w:p w:rsidR="00000000" w:rsidDel="00000000" w:rsidP="00000000" w:rsidRDefault="00000000" w:rsidRPr="00000000" w14:paraId="0000004D">
            <w:pPr>
              <w:spacing w:after="0"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데이터 소스</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KCGS ESG 평가등급 2021~2025</w:t>
            </w:r>
            <w:r w:rsidDel="00000000" w:rsidR="00000000" w:rsidRPr="00000000">
              <w:rPr>
                <w:rtl w:val="0"/>
              </w:rPr>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정형/외부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필수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한국 ESG 기준원</w:t>
            </w:r>
          </w:p>
          <w:p w:rsidR="00000000" w:rsidDel="00000000" w:rsidP="00000000" w:rsidRDefault="00000000" w:rsidRPr="00000000" w14:paraId="00000054">
            <w:pPr>
              <w:spacing w:after="0" w:lineRule="auto"/>
              <w:rPr>
                <w:rFonts w:ascii="Malgun Gothic" w:cs="Malgun Gothic" w:eastAsia="Malgun Gothic" w:hAnsi="Malgun Gothic"/>
                <w:sz w:val="16"/>
                <w:szCs w:val="16"/>
              </w:rPr>
            </w:pP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재무제표 원시데이터</w:t>
            </w:r>
          </w:p>
          <w:p w:rsidR="00000000" w:rsidDel="00000000" w:rsidP="00000000" w:rsidRDefault="00000000" w:rsidRPr="00000000" w14:paraId="00000056">
            <w:pPr>
              <w:spacing w:after="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(시가총액)</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정형/외부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필수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년/분기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금융감독원 DART Open API</w:t>
            </w:r>
          </w:p>
          <w:p w:rsidR="00000000" w:rsidDel="00000000" w:rsidP="00000000" w:rsidRDefault="00000000" w:rsidRPr="00000000" w14:paraId="0000005C">
            <w:pPr>
              <w:spacing w:after="0" w:lineRule="auto"/>
              <w:rPr>
                <w:rFonts w:ascii="Malgun Gothic" w:cs="Malgun Gothic" w:eastAsia="Malgun Gothic" w:hAnsi="Malgun Gothic"/>
                <w:sz w:val="16"/>
                <w:szCs w:val="16"/>
              </w:rPr>
            </w:pPr>
            <w:hyperlink r:id="rId15">
              <w:r w:rsidDel="00000000" w:rsidR="00000000" w:rsidRPr="00000000">
                <w:rPr>
                  <w:rFonts w:ascii="Malgun Gothic" w:cs="Malgun Gothic" w:eastAsia="Malgun Gothic" w:hAnsi="Malgun Gothic"/>
                  <w:color w:val="1155cc"/>
                  <w:sz w:val="16"/>
                  <w:szCs w:val="16"/>
                  <w:u w:val="single"/>
                  <w:rtl w:val="0"/>
                </w:rPr>
                <w:t xml:space="preserve">https://opendart.fss.or.kr/</w:t>
              </w:r>
            </w:hyperlink>
            <w:r w:rsidDel="00000000" w:rsidR="00000000" w:rsidRPr="00000000">
              <w:rPr>
                <w:rFonts w:ascii="Malgun Gothic" w:cs="Malgun Gothic" w:eastAsia="Malgun Gothic" w:hAnsi="Malgun Gothic"/>
                <w:sz w:val="16"/>
                <w:szCs w:val="16"/>
                <w:rtl w:val="0"/>
              </w:rPr>
              <w:t xml:space="preserve"> </w:t>
            </w:r>
          </w:p>
        </w:tc>
      </w:tr>
      <w:tr>
        <w:trPr>
          <w:cantSplit w:val="0"/>
          <w:trHeight w:val="1659" w:hRule="atLeast"/>
          <w:tblHeader w:val="0"/>
        </w:trPr>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5D">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DART 자율공시 내</w:t>
              <w:br w:type="textWrapping"/>
              <w:t xml:space="preserve">보고서 2종 발행여부</w:t>
            </w:r>
          </w:p>
          <w:p w:rsidR="00000000" w:rsidDel="00000000" w:rsidP="00000000" w:rsidRDefault="00000000" w:rsidRPr="00000000" w14:paraId="0000005E">
            <w:pPr>
              <w:spacing w:after="0"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지속가능경영보고서</w:t>
              <w:br w:type="textWrapping"/>
              <w:t xml:space="preserve">2. 기업지배구조보고서</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5F">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정형/파생</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0">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필수</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1">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연</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2">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3">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금융감독원 DART Open API</w:t>
            </w:r>
          </w:p>
          <w:p w:rsidR="00000000" w:rsidDel="00000000" w:rsidP="00000000" w:rsidRDefault="00000000" w:rsidRPr="00000000" w14:paraId="00000064">
            <w:pPr>
              <w:spacing w:after="0" w:lineRule="auto"/>
              <w:rPr>
                <w:rFonts w:ascii="Malgun Gothic" w:cs="Malgun Gothic" w:eastAsia="Malgun Gothic" w:hAnsi="Malgun Gothic"/>
                <w:color w:val="0000ff"/>
                <w:sz w:val="16"/>
                <w:szCs w:val="16"/>
              </w:rPr>
            </w:pPr>
            <w:hyperlink r:id="rId16">
              <w:r w:rsidDel="00000000" w:rsidR="00000000" w:rsidRPr="00000000">
                <w:rPr>
                  <w:rFonts w:ascii="Malgun Gothic" w:cs="Malgun Gothic" w:eastAsia="Malgun Gothic" w:hAnsi="Malgun Gothic"/>
                  <w:color w:val="1155cc"/>
                  <w:sz w:val="16"/>
                  <w:szCs w:val="16"/>
                  <w:u w:val="single"/>
                  <w:rtl w:val="0"/>
                </w:rPr>
                <w:t xml:space="preserve">https://opendart.fss.or.kr/</w:t>
              </w:r>
            </w:hyperlink>
            <w:r w:rsidDel="00000000" w:rsidR="00000000" w:rsidRPr="00000000">
              <w:rPr>
                <w:rFonts w:ascii="Malgun Gothic" w:cs="Malgun Gothic" w:eastAsia="Malgun Gothic" w:hAnsi="Malgun Gothic"/>
                <w:sz w:val="16"/>
                <w:szCs w:val="16"/>
                <w:rtl w:val="0"/>
              </w:rPr>
              <w:t xml:space="preserve"> </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5">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ESG 모범규준</w:t>
            </w:r>
          </w:p>
          <w:p w:rsidR="00000000" w:rsidDel="00000000" w:rsidP="00000000" w:rsidRDefault="00000000" w:rsidRPr="00000000" w14:paraId="00000066">
            <w:pPr>
              <w:spacing w:after="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(2021.08 개정판)</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7">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비정형/외부</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8">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필수</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9">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비정기 </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A">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B">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한국 ESG 기준원</w:t>
              <w:br w:type="textWrapping"/>
              <w:t xml:space="preserve">(등급 산출식 내/외 변수 판정 기준으로 사용)</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C">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KCGS ESG 우수기업 현황 2003~2025</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D">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정형/외부 </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E">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권장</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6F">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연 </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0">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1">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한국 ESG 기준원</w:t>
            </w:r>
          </w:p>
        </w:tc>
      </w:tr>
      <w:tr>
        <w:trPr>
          <w:cantSplit w:val="0"/>
          <w:trHeight w:val="1659" w:hRule="atLeast"/>
          <w:tblHeader w:val="0"/>
        </w:trPr>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2">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KOSPI, KOSDAQ 업종분류 데이터</w:t>
            </w:r>
          </w:p>
          <w:p w:rsidR="00000000" w:rsidDel="00000000" w:rsidP="00000000" w:rsidRDefault="00000000" w:rsidRPr="00000000" w14:paraId="00000073">
            <w:pPr>
              <w:spacing w:after="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(업종명, 시장구분, 시가총액)</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4">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정형/외부</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5">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필수</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6">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일</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7">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8">
            <w:pPr>
              <w:spacing w:after="0" w:lineRule="auto"/>
              <w:rPr>
                <w:rFonts w:ascii="Malgun Gothic" w:cs="Malgun Gothic" w:eastAsia="Malgun Gothic" w:hAnsi="Malgun Gothic"/>
                <w:sz w:val="12"/>
                <w:szCs w:val="12"/>
              </w:rPr>
            </w:pPr>
            <w:r w:rsidDel="00000000" w:rsidR="00000000" w:rsidRPr="00000000">
              <w:rPr>
                <w:rFonts w:ascii="Malgun Gothic" w:cs="Malgun Gothic" w:eastAsia="Malgun Gothic" w:hAnsi="Malgun Gothic"/>
                <w:sz w:val="16"/>
                <w:szCs w:val="16"/>
                <w:rtl w:val="0"/>
              </w:rPr>
              <w:t xml:space="preserve">KRX 정보데이터시스템 </w:t>
            </w:r>
            <w:r w:rsidDel="00000000" w:rsidR="00000000" w:rsidRPr="00000000">
              <w:rPr>
                <w:rtl w:val="0"/>
              </w:rPr>
            </w:r>
          </w:p>
        </w:tc>
      </w:tr>
      <w:tr>
        <w:trPr>
          <w:cantSplit w:val="0"/>
          <w:trHeight w:val="16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온실가스 시장구분 ESG 등급 조인 데이터 </w:t>
            </w:r>
            <w:r w:rsidDel="00000000" w:rsidR="00000000" w:rsidRPr="00000000">
              <w:rPr>
                <w:rFonts w:ascii="Malgun Gothic" w:cs="Malgun Gothic" w:eastAsia="Malgun Gothic" w:hAnsi="Malgun Gothic"/>
                <w:sz w:val="20"/>
                <w:szCs w:val="20"/>
                <w:rtl w:val="0"/>
              </w:rPr>
              <w:t xml:space="preserve">(배출량, 에너지 사용량, 규제 지정구분, KOSPI, KOSDAQ 구분, 시가총액, ESG 통합 E·S·G 개별등급)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A">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정형/파생</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B">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필수</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C">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연</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D">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E">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온실가스 명세서 + 거래소 시장구분 + KCGS 등급 종목코드 조인 결과</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7F">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기업 규모 및 재무 정보</w:t>
            </w:r>
          </w:p>
          <w:p w:rsidR="00000000" w:rsidDel="00000000" w:rsidP="00000000" w:rsidRDefault="00000000" w:rsidRPr="00000000" w14:paraId="00000080">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sz w:val="20"/>
                <w:szCs w:val="20"/>
                <w:rtl w:val="0"/>
              </w:rPr>
              <w:t xml:space="preserve">(연결자산, 매출액)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1">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w:t>
            </w:r>
          </w:p>
          <w:p w:rsidR="00000000" w:rsidDel="00000000" w:rsidP="00000000" w:rsidRDefault="00000000" w:rsidRPr="00000000" w14:paraId="00000082">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/외부</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3">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필수</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4">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연/분기</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5">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6">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수집 필요</w:t>
            </w:r>
            <w:r w:rsidDel="00000000" w:rsidR="00000000" w:rsidRPr="00000000">
              <w:rPr>
                <w:rtl w:val="0"/>
              </w:rPr>
            </w:r>
          </w:p>
        </w:tc>
      </w:tr>
      <w:tr>
        <w:trPr>
          <w:cantSplit w:val="0"/>
          <w:trHeight w:val="1659" w:hRule="atLeast"/>
          <w:tblHeader w:val="0"/>
        </w:trPr>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7">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온실가스 배출량 명세서, 할당대상 업체, 목표관리 업체 현황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8">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w:t>
            </w:r>
          </w:p>
          <w:p w:rsidR="00000000" w:rsidDel="00000000" w:rsidP="00000000" w:rsidRDefault="00000000" w:rsidRPr="00000000" w14:paraId="00000089">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/외부</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A">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필수</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B">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연</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C">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tcMar>
              <w:top w:w="85.0" w:type="dxa"/>
              <w:left w:w="57.0" w:type="dxa"/>
              <w:bottom w:w="85.0" w:type="dxa"/>
              <w:right w:w="57.0" w:type="dxa"/>
            </w:tcMar>
          </w:tcPr>
          <w:p w:rsidR="00000000" w:rsidDel="00000000" w:rsidP="00000000" w:rsidRDefault="00000000" w:rsidRPr="00000000" w14:paraId="0000008D">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기후에너지환경부 온실가스종합정보센터</w:t>
            </w:r>
          </w:p>
          <w:p w:rsidR="00000000" w:rsidDel="00000000" w:rsidP="00000000" w:rsidRDefault="00000000" w:rsidRPr="00000000" w14:paraId="0000008E">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(통제변수)</w:t>
            </w:r>
          </w:p>
        </w:tc>
      </w:tr>
      <w:tr>
        <w:trPr>
          <w:cantSplit w:val="0"/>
          <w:trHeight w:val="1659" w:hRule="atLeast"/>
          <w:tblHeader w:val="0"/>
        </w:trPr>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8F">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지속가능경영보고서 본문 텍스트</w:t>
            </w:r>
          </w:p>
          <w:p w:rsidR="00000000" w:rsidDel="00000000" w:rsidP="00000000" w:rsidRDefault="00000000" w:rsidRPr="00000000" w14:paraId="00000090">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sz w:val="20"/>
                <w:szCs w:val="20"/>
                <w:rtl w:val="0"/>
              </w:rPr>
              <w:t xml:space="preserve">(분량, 전망 정보 포함 여부 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1">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비정형</w:t>
            </w:r>
          </w:p>
          <w:p w:rsidR="00000000" w:rsidDel="00000000" w:rsidP="00000000" w:rsidRDefault="00000000" w:rsidRPr="00000000" w14:paraId="00000092">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/외부</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3">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권장</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4">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연</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5">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6">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[수집 희망] 기업 홈페이지</w:t>
            </w:r>
          </w:p>
        </w:tc>
      </w:tr>
      <w:tr>
        <w:trPr>
          <w:cantSplit w:val="0"/>
          <w:trHeight w:val="1659" w:hRule="atLeast"/>
          <w:tblHeader w:val="0"/>
        </w:trPr>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7">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ESG 관련 뉴스 언급 빈도 및 논조</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8">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비정형</w:t>
            </w:r>
          </w:p>
          <w:p w:rsidR="00000000" w:rsidDel="00000000" w:rsidP="00000000" w:rsidRDefault="00000000" w:rsidRPr="00000000" w14:paraId="00000099">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/외부</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A">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권장</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B">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상시</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C">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D">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[수집 희망] 빅카인즈(BigKinds)</w:t>
            </w:r>
          </w:p>
        </w:tc>
      </w:tr>
      <w:tr>
        <w:trPr>
          <w:cantSplit w:val="0"/>
          <w:trHeight w:val="1659" w:hRule="atLeast"/>
          <w:tblHeader w:val="0"/>
        </w:trPr>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E">
            <w:pPr>
              <w:spacing w:after="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KCGS 세부 평가 점수 (1~300점 원점수)</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9F">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정형/외부</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A0">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권장</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A1">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연</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A2">
            <w:pPr>
              <w:spacing w:after="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전국</w:t>
            </w:r>
          </w:p>
        </w:tc>
        <w:tc>
          <w:tcPr>
            <w:tcBorders>
              <w:top w:color="000000" w:space="0" w:sz="8" w:val="single"/>
              <w:left w:color="000000" w:space="0" w:sz="8" w:val="single"/>
              <w:bottom w:color="000000" w:space="0" w:sz="8" w:val="single"/>
              <w:right w:color="000000" w:space="0" w:sz="8" w:val="single"/>
            </w:tcBorders>
            <w:shd w:fill="cedeef" w:val="clear"/>
            <w:tcMar>
              <w:top w:w="85.0" w:type="dxa"/>
              <w:left w:w="57.0" w:type="dxa"/>
              <w:bottom w:w="85.0" w:type="dxa"/>
              <w:right w:w="57.0" w:type="dxa"/>
            </w:tcMar>
          </w:tcPr>
          <w:p w:rsidR="00000000" w:rsidDel="00000000" w:rsidP="00000000" w:rsidRDefault="00000000" w:rsidRPr="00000000" w14:paraId="000000A3">
            <w:pPr>
              <w:spacing w:after="0" w:lineRule="auto"/>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[확보 불가]</w:t>
            </w:r>
          </w:p>
        </w:tc>
      </w:tr>
    </w:tbl>
    <w:p w:rsidR="00000000" w:rsidDel="00000000" w:rsidP="00000000" w:rsidRDefault="00000000" w:rsidRPr="00000000" w14:paraId="000000A4">
      <w:pPr>
        <w:spacing w:after="0" w:before="200" w:lineRule="auto"/>
        <w:ind w:left="966" w:firstLine="0"/>
        <w:jc w:val="both"/>
        <w:rPr>
          <w:rFonts w:ascii="Malgun Gothic" w:cs="Malgun Gothic" w:eastAsia="Malgun Gothic" w:hAnsi="Malgun Gothic"/>
          <w:sz w:val="30"/>
          <w:szCs w:val="30"/>
        </w:rPr>
      </w:pPr>
      <w:r w:rsidDel="00000000" w:rsidR="00000000" w:rsidRPr="00000000">
        <w:rPr>
          <w:rtl w:val="0"/>
        </w:rPr>
      </w:r>
    </w:p>
    <w:p w:rsidR="00000000" w:rsidDel="00000000" w:rsidP="00000000" w:rsidRDefault="00000000" w:rsidRPr="00000000" w14:paraId="000000A5">
      <w:pPr>
        <w:spacing w:after="0" w:before="200" w:lineRule="auto"/>
        <w:ind w:left="0" w:firstLine="0"/>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30"/>
          <w:szCs w:val="30"/>
          <w:rtl w:val="0"/>
        </w:rPr>
        <w:t xml:space="preserve">□</w:t>
      </w:r>
      <w:r w:rsidDel="00000000" w:rsidR="00000000" w:rsidRPr="00000000">
        <w:rPr>
          <w:rFonts w:ascii="Malgun Gothic" w:cs="Malgun Gothic" w:eastAsia="Malgun Gothic" w:hAnsi="Malgun Gothic"/>
          <w:b w:val="1"/>
          <w:bCs w:val="1"/>
          <w:sz w:val="32"/>
          <w:szCs w:val="32"/>
          <w:rtl w:val="0"/>
        </w:rPr>
        <w:t xml:space="preserve"> 활용방안</w:t>
      </w:r>
      <w:r w:rsidDel="00000000" w:rsidR="00000000" w:rsidRPr="00000000">
        <w:rPr>
          <w:rtl w:val="0"/>
        </w:rPr>
      </w:r>
    </w:p>
    <w:tbl>
      <w:tblPr>
        <w:tblStyle w:val="Table6"/>
        <w:tblW w:w="9020.0" w:type="dxa"/>
        <w:jc w:val="left"/>
        <w:tblLayout w:type="fixed"/>
        <w:tblLook w:val="0400"/>
      </w:tblPr>
      <w:tblGrid>
        <w:gridCol w:w="9020"/>
        <w:tblGridChange w:id="0">
          <w:tblGrid>
            <w:gridCol w:w="9020"/>
          </w:tblGrid>
        </w:tblGridChange>
      </w:tblGrid>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0A6">
            <w:pPr>
              <w:spacing w:after="0" w:before="200" w:lineRule="auto"/>
              <w:ind w:left="0" w:firstLine="0"/>
              <w:jc w:val="both"/>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기업 실무 지원(ESG 진단 및 컨설팅) </w:t>
            </w:r>
          </w:p>
          <w:p w:rsidR="00000000" w:rsidDel="00000000" w:rsidP="00000000" w:rsidRDefault="00000000" w:rsidRPr="00000000" w14:paraId="000000A7">
            <w:pPr>
              <w:numPr>
                <w:ilvl w:val="0"/>
                <w:numId w:val="2"/>
              </w:numPr>
              <w:spacing w:after="240" w:before="240" w:lineRule="auto"/>
              <w:ind w:left="720" w:hanging="360"/>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조달청 입찰·평가 대응 및 공공 조달 경쟁력 강화</w:t>
              <w:br w:type="textWrapping"/>
            </w:r>
            <w:r w:rsidDel="00000000" w:rsidR="00000000" w:rsidRPr="00000000">
              <w:rPr>
                <w:rFonts w:ascii="Malgun Gothic" w:cs="Malgun Gothic" w:eastAsia="Malgun Gothic" w:hAnsi="Malgun Gothic"/>
                <w:sz w:val="20"/>
                <w:szCs w:val="20"/>
                <w:rtl w:val="0"/>
              </w:rPr>
              <w:t xml:space="preserve">조달청 및 공공기관의 물품·용역 입찰 평가 시 ESG 지표 반영 기조에 맞춰, </w:t>
              <w:br w:type="textWrapping"/>
              <w:t xml:space="preserve">C·D 등급 등 하위 기업의 감점 요인 방지 및 가점 항목 선제적 관리.</w:t>
            </w:r>
          </w:p>
          <w:p w:rsidR="00000000" w:rsidDel="00000000" w:rsidP="00000000" w:rsidRDefault="00000000" w:rsidRPr="00000000" w14:paraId="000000A8">
            <w:pPr>
              <w:numPr>
                <w:ilvl w:val="0"/>
                <w:numId w:val="2"/>
              </w:numPr>
              <w:spacing w:after="0" w:before="200" w:lineRule="auto"/>
              <w:ind w:left="720" w:hanging="360"/>
              <w:jc w:val="both"/>
              <w:rPr>
                <w:rFonts w:ascii="Arial" w:cs="Arial" w:eastAsia="Arial" w:hAnsi="Arial"/>
                <w:sz w:val="20"/>
                <w:szCs w:val="20"/>
              </w:rPr>
            </w:pPr>
            <w:r w:rsidDel="00000000" w:rsidR="00000000" w:rsidRPr="00000000">
              <w:rPr>
                <w:rFonts w:ascii="Malgun Gothic" w:cs="Malgun Gothic" w:eastAsia="Malgun Gothic" w:hAnsi="Malgun Gothic"/>
                <w:b w:val="1"/>
                <w:bCs w:val="1"/>
                <w:sz w:val="20"/>
                <w:szCs w:val="20"/>
                <w:shd w:fill="c9daf8" w:val="clear"/>
                <w:rtl w:val="0"/>
              </w:rPr>
              <w:t xml:space="preserve">맞춤형 개선 로드맵 제공 + 파급효과 안내</w:t>
            </w:r>
            <w:r w:rsidDel="00000000" w:rsidR="00000000" w:rsidRPr="00000000">
              <w:rPr>
                <w:rFonts w:ascii="Malgun Gothic" w:cs="Malgun Gothic" w:eastAsia="Malgun Gothic" w:hAnsi="Malgun Gothic"/>
                <w:sz w:val="20"/>
                <w:szCs w:val="20"/>
                <w:shd w:fill="c9daf8" w:val="clear"/>
                <w:rtl w:val="0"/>
              </w:rPr>
              <w:br w:type="textWrapping"/>
            </w:r>
            <w:r w:rsidDel="00000000" w:rsidR="00000000" w:rsidRPr="00000000">
              <w:rPr>
                <w:rFonts w:ascii="Malgun Gothic" w:cs="Malgun Gothic" w:eastAsia="Malgun Gothic" w:hAnsi="Malgun Gothic"/>
                <w:sz w:val="20"/>
                <w:szCs w:val="20"/>
                <w:rtl w:val="0"/>
              </w:rPr>
              <w:t xml:space="preserve">C, D등급 하위 기업을 대상으로 단순 지표 개선이 아닌 '관리 체계 수립 순서</w:t>
              <w:br w:type="textWrapping"/>
              <w:t xml:space="preserve">(거버넌스 → 위험관리 → 성과 → 공시)'에 맞춘 단계별 이행 가이드 지원</w:t>
              <w:br w:type="textWrapping"/>
            </w:r>
            <w:r w:rsidDel="00000000" w:rsidR="00000000" w:rsidRPr="00000000">
              <w:rPr>
                <w:rtl w:val="0"/>
              </w:rPr>
            </w:r>
          </w:p>
          <w:p w:rsidR="00000000" w:rsidDel="00000000" w:rsidP="00000000" w:rsidRDefault="00000000" w:rsidRPr="00000000" w14:paraId="000000A9">
            <w:pPr>
              <w:numPr>
                <w:ilvl w:val="0"/>
                <w:numId w:val="2"/>
              </w:numPr>
              <w:spacing w:after="0" w:before="0" w:lineRule="auto"/>
              <w:ind w:left="720" w:hanging="360"/>
              <w:jc w:val="both"/>
              <w:rPr>
                <w:rFonts w:ascii="Arial" w:cs="Arial" w:eastAsia="Arial" w:hAnsi="Arial"/>
                <w:sz w:val="20"/>
                <w:szCs w:val="20"/>
              </w:rPr>
            </w:pPr>
            <w:r w:rsidDel="00000000" w:rsidR="00000000" w:rsidRPr="00000000">
              <w:rPr>
                <w:rFonts w:ascii="Malgun Gothic" w:cs="Malgun Gothic" w:eastAsia="Malgun Gothic" w:hAnsi="Malgun Gothic"/>
                <w:b w:val="1"/>
                <w:bCs w:val="1"/>
                <w:sz w:val="20"/>
                <w:szCs w:val="20"/>
                <w:shd w:fill="c9daf8" w:val="clear"/>
                <w:rtl w:val="0"/>
              </w:rPr>
              <w:t xml:space="preserve">실행 가능한 행동 우선순위로 제안</w:t>
            </w:r>
            <w:r w:rsidDel="00000000" w:rsidR="00000000" w:rsidRPr="00000000">
              <w:rPr>
                <w:rFonts w:ascii="Malgun Gothic" w:cs="Malgun Gothic" w:eastAsia="Malgun Gothic" w:hAnsi="Malgun Gothic"/>
                <w:sz w:val="20"/>
                <w:szCs w:val="20"/>
                <w:shd w:fill="c9daf8" w:val="clear"/>
                <w:rtl w:val="0"/>
              </w:rPr>
              <w:t xml:space="preserve"> </w:t>
              <w:br w:type="textWrapping"/>
            </w:r>
            <w:r w:rsidDel="00000000" w:rsidR="00000000" w:rsidRPr="00000000">
              <w:rPr>
                <w:rFonts w:ascii="Malgun Gothic" w:cs="Malgun Gothic" w:eastAsia="Malgun Gothic" w:hAnsi="Malgun Gothic"/>
                <w:sz w:val="20"/>
                <w:szCs w:val="20"/>
                <w:rtl w:val="0"/>
              </w:rPr>
              <w:t xml:space="preserve">예산과 인력으로 즉시 실행 가능한 요인 중심의 실무 가이드라인 제공 </w:t>
              <w:br w:type="textWrapping"/>
              <w:t xml:space="preserve">(ESG 전담 조직 신설, 방침 제정, 보고서 공시 등) </w:t>
            </w:r>
          </w:p>
          <w:p w:rsidR="00000000" w:rsidDel="00000000" w:rsidP="00000000" w:rsidRDefault="00000000" w:rsidRPr="00000000" w14:paraId="000000AA">
            <w:pPr>
              <w:spacing w:after="0" w:before="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AB">
            <w:pPr>
              <w:numPr>
                <w:ilvl w:val="0"/>
                <w:numId w:val="2"/>
              </w:numPr>
              <w:spacing w:after="0" w:before="0" w:lineRule="auto"/>
              <w:ind w:left="720" w:hanging="360"/>
              <w:jc w:val="both"/>
              <w:rPr>
                <w:rFonts w:ascii="Arial" w:cs="Arial" w:eastAsia="Arial" w:hAnsi="Arial"/>
                <w:sz w:val="20"/>
                <w:szCs w:val="20"/>
              </w:rPr>
            </w:pPr>
            <w:r w:rsidDel="00000000" w:rsidR="00000000" w:rsidRPr="00000000">
              <w:rPr>
                <w:rFonts w:ascii="Malgun Gothic" w:cs="Malgun Gothic" w:eastAsia="Malgun Gothic" w:hAnsi="Malgun Gothic"/>
                <w:sz w:val="20"/>
                <w:szCs w:val="20"/>
                <w:rtl w:val="0"/>
              </w:rPr>
              <w:t xml:space="preserve">단기성 개선이 아닌 </w:t>
            </w:r>
            <w:r w:rsidDel="00000000" w:rsidR="00000000" w:rsidRPr="00000000">
              <w:rPr>
                <w:rFonts w:ascii="Malgun Gothic" w:cs="Malgun Gothic" w:eastAsia="Malgun Gothic" w:hAnsi="Malgun Gothic"/>
                <w:b w:val="1"/>
                <w:bCs w:val="1"/>
                <w:sz w:val="20"/>
                <w:szCs w:val="20"/>
                <w:shd w:fill="fafbae" w:val="clear"/>
                <w:rtl w:val="0"/>
              </w:rPr>
              <w:t xml:space="preserve">중장기적 ESG 컨설팅의 필요성</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AC">
            <w:pPr>
              <w:spacing w:after="0" w:before="0" w:lineRule="auto"/>
              <w:ind w:left="720" w:firstLine="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 기업은 비전 제시용(Target Picture)으로 활용 </w:t>
              <w:br w:type="textWrapping"/>
              <w:t xml:space="preserve">- 실질적인 실행과 대시보드 설계는 바로 위 단계(Next Step)의 모범사례를 기준으로 매칭 </w:t>
            </w:r>
          </w:p>
          <w:p w:rsidR="00000000" w:rsidDel="00000000" w:rsidP="00000000" w:rsidRDefault="00000000" w:rsidRPr="00000000" w14:paraId="000000AD">
            <w:pPr>
              <w:spacing w:after="0" w:before="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[예시] 삼성SDS ESG플랫폼 대시보드</w:t>
            </w:r>
          </w:p>
          <w:p w:rsidR="00000000" w:rsidDel="00000000" w:rsidP="00000000" w:rsidRDefault="00000000" w:rsidRPr="00000000" w14:paraId="000000AE">
            <w:pPr>
              <w:spacing w:after="0" w:before="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919663" cy="438929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919663" cy="438929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before="0" w:lineRule="auto"/>
              <w:ind w:left="0" w:firstLine="0"/>
              <w:jc w:val="both"/>
              <w:rPr>
                <w:sz w:val="20"/>
                <w:szCs w:val="20"/>
              </w:rPr>
            </w:pPr>
            <w:r w:rsidDel="00000000" w:rsidR="00000000" w:rsidRPr="00000000">
              <w:rPr>
                <w:sz w:val="20"/>
                <w:szCs w:val="20"/>
              </w:rPr>
              <w:drawing>
                <wp:inline distB="114300" distT="114300" distL="114300" distR="114300">
                  <wp:extent cx="5591175" cy="3505200"/>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591175" cy="3505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spacing w:after="240" w:before="240" w:lineRule="auto"/>
        <w:rPr>
          <w:rFonts w:ascii="Malgun Gothic" w:cs="Malgun Gothic" w:eastAsia="Malgun Gothic" w:hAnsi="Malgun Gothic"/>
        </w:rPr>
      </w:pPr>
      <w:r w:rsidDel="00000000" w:rsidR="00000000" w:rsidRPr="00000000">
        <w:rPr>
          <w:rtl w:val="0"/>
        </w:rPr>
      </w:r>
    </w:p>
    <w:sectPr>
      <w:headerReference r:id="rId19"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2026</w:t>
    </w:r>
    <w:sdt>
      <w:sdtPr>
        <w:id w:val="-62830793"/>
        <w:tag w:val="goog_rdk_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새싹_빅데이터 분석가 양성 과정 기획                                                                                        </w:t>
        </w:r>
      </w:sdtContent>
    </w:sdt>
    <w:sdt>
      <w:sdtPr>
        <w:id w:val="-69916462"/>
        <w:tag w:val="goog_rdk_1"/>
      </w:sdtPr>
      <w:sdtContent>
        <w:r w:rsidDel="00000000" w:rsidR="00000000" w:rsidRPr="00000000">
          <w:rPr>
            <w:rFonts w:ascii="Gungsuh" w:cs="Gungsuh" w:eastAsia="Gungsuh" w:hAnsi="Gungsuh"/>
            <w:sz w:val="18"/>
            <w:szCs w:val="18"/>
            <w:rtl w:val="0"/>
          </w:rPr>
          <w:t xml:space="preserve">1조 </w:t>
        </w:r>
      </w:sdtContent>
    </w:sdt>
    <w:sdt>
      <w:sdtPr>
        <w:id w:val="-635539498"/>
        <w:tag w:val="goog_rdk_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분석 과제 개요서</w:t>
        </w:r>
      </w:sdtContent>
    </w:sdt>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FC0542"/>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FC0542"/>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FC0542"/>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FC0542"/>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FC0542"/>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FC0542"/>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FC0542"/>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FC0542"/>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FC0542"/>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FC0542"/>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FC0542"/>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FC0542"/>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FC0542"/>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FC0542"/>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FC0542"/>
    <w:pPr>
      <w:spacing w:before="160"/>
      <w:jc w:val="center"/>
    </w:pPr>
    <w:rPr>
      <w:i w:val="1"/>
      <w:iCs w:val="1"/>
      <w:color w:val="404040" w:themeColor="text1" w:themeTint="0000BF"/>
    </w:rPr>
  </w:style>
  <w:style w:type="character" w:styleId="Char1" w:customStyle="1">
    <w:name w:val="인용 Char"/>
    <w:basedOn w:val="a0"/>
    <w:link w:val="a5"/>
    <w:uiPriority w:val="29"/>
    <w:rsid w:val="00FC0542"/>
    <w:rPr>
      <w:i w:val="1"/>
      <w:iCs w:val="1"/>
      <w:color w:val="404040" w:themeColor="text1" w:themeTint="0000BF"/>
    </w:rPr>
  </w:style>
  <w:style w:type="paragraph" w:styleId="a6">
    <w:name w:val="List Paragraph"/>
    <w:basedOn w:val="a"/>
    <w:uiPriority w:val="34"/>
    <w:qFormat w:val="1"/>
    <w:rsid w:val="00FC0542"/>
    <w:pPr>
      <w:ind w:left="720"/>
      <w:contextualSpacing w:val="1"/>
    </w:pPr>
  </w:style>
  <w:style w:type="character" w:styleId="a7">
    <w:name w:val="Intense Emphasis"/>
    <w:basedOn w:val="a0"/>
    <w:uiPriority w:val="21"/>
    <w:qFormat w:val="1"/>
    <w:rsid w:val="00FC0542"/>
    <w:rPr>
      <w:i w:val="1"/>
      <w:iCs w:val="1"/>
      <w:color w:val="2e74b5" w:themeColor="accent1" w:themeShade="0000BF"/>
    </w:rPr>
  </w:style>
  <w:style w:type="paragraph" w:styleId="a8">
    <w:name w:val="Intense Quote"/>
    <w:basedOn w:val="a"/>
    <w:next w:val="a"/>
    <w:link w:val="Char2"/>
    <w:uiPriority w:val="30"/>
    <w:qFormat w:val="1"/>
    <w:rsid w:val="00FC0542"/>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Char2" w:customStyle="1">
    <w:name w:val="강한 인용 Char"/>
    <w:basedOn w:val="a0"/>
    <w:link w:val="a8"/>
    <w:uiPriority w:val="30"/>
    <w:rsid w:val="00FC0542"/>
    <w:rPr>
      <w:i w:val="1"/>
      <w:iCs w:val="1"/>
      <w:color w:val="2e74b5" w:themeColor="accent1" w:themeShade="0000BF"/>
    </w:rPr>
  </w:style>
  <w:style w:type="character" w:styleId="a9">
    <w:name w:val="Intense Reference"/>
    <w:basedOn w:val="a0"/>
    <w:uiPriority w:val="32"/>
    <w:qFormat w:val="1"/>
    <w:rsid w:val="00FC0542"/>
    <w:rPr>
      <w:b w:val="1"/>
      <w:bCs w:val="1"/>
      <w:smallCaps w:val="1"/>
      <w:color w:val="2e74b5" w:themeColor="accent1" w:themeShade="0000BF"/>
      <w:spacing w:val="5"/>
    </w:rPr>
  </w:style>
  <w:style w:type="paragraph" w:styleId="aa">
    <w:name w:val="header"/>
    <w:basedOn w:val="a"/>
    <w:link w:val="Char3"/>
    <w:uiPriority w:val="99"/>
    <w:unhideWhenUsed w:val="1"/>
    <w:rsid w:val="00FC0542"/>
    <w:pPr>
      <w:tabs>
        <w:tab w:val="center" w:pos="4513"/>
        <w:tab w:val="right" w:pos="9026"/>
      </w:tabs>
      <w:snapToGrid w:val="0"/>
    </w:pPr>
  </w:style>
  <w:style w:type="character" w:styleId="Char3" w:customStyle="1">
    <w:name w:val="머리글 Char"/>
    <w:basedOn w:val="a0"/>
    <w:link w:val="aa"/>
    <w:uiPriority w:val="99"/>
    <w:rsid w:val="00FC0542"/>
  </w:style>
  <w:style w:type="paragraph" w:styleId="ab">
    <w:name w:val="footer"/>
    <w:basedOn w:val="a"/>
    <w:link w:val="Char4"/>
    <w:uiPriority w:val="99"/>
    <w:unhideWhenUsed w:val="1"/>
    <w:rsid w:val="00FC0542"/>
    <w:pPr>
      <w:tabs>
        <w:tab w:val="center" w:pos="4513"/>
        <w:tab w:val="right" w:pos="9026"/>
      </w:tabs>
      <w:snapToGrid w:val="0"/>
    </w:pPr>
  </w:style>
  <w:style w:type="character" w:styleId="Char4" w:customStyle="1">
    <w:name w:val="바닥글 Char"/>
    <w:basedOn w:val="a0"/>
    <w:link w:val="ab"/>
    <w:uiPriority w:val="99"/>
    <w:rsid w:val="00FC0542"/>
  </w:style>
  <w:style w:type="paragraph" w:styleId="ac" w:customStyle="1">
    <w:name w:val="바탕글"/>
    <w:basedOn w:val="a"/>
    <w:rsid w:val="00FC0542"/>
    <w:pPr>
      <w:spacing w:after="0" w:line="384" w:lineRule="auto"/>
      <w:jc w:val="both"/>
      <w:textAlignment w:val="baseline"/>
    </w:pPr>
    <w:rPr>
      <w:rFonts w:ascii="함초롬바탕" w:cs="굴림" w:eastAsia="굴림" w:hAnsi="굴림"/>
      <w:color w:val="000000"/>
      <w:kern w:val="0"/>
      <w:sz w:val="20"/>
      <w:szCs w:val="2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opendart.fss.or.kr/" TargetMode="External"/><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hyperlink" Target="https://opendart.fss.or.kr/"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https://www.fsc.go.kr/no010101/87280?srchCtgry=&amp;curPage=&amp;srchKey=&amp;srchText=&amp;srchBeginDt=&amp;srchEndDt=" TargetMode="External"/><Relationship Id="rId8" Type="http://schemas.openxmlformats.org/officeDocument/2006/relationships/hyperlink" Target="https://www.msci.com/research-and-insights/paper/msci-esg-ratings-and-cost-of-capita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d8NDlT6YFKQAyUzyNsrtSQUQdA==">CgMxLjAaJQoBMBIgCh4IB0IaCg9UaW1lcyBOZXcgUm9tYW4SB0d1bmdzdWgaFAoBMRIPCg0IB0IJEgdHdW5nc3VoGiUKATISIAoeCAdCGgoPVGltZXMgTmV3IFJvbWFuEgdHdW5nc3VoOAByITE0QjBaRUU2WTlqdUZZN29WTmNzaDdMYk9Nb0VQMUNZaQ==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2025-07-21T05:27:00Z</dcterms:created>
  <dc:creator>ILIFO01</dc:creator>
</cp:coreProperties>
</file>