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color w:val="1F3864"/>
          <w:sz w:val="36"/>
          <w:szCs w:val="36"/>
        </w:rPr>
        <w:t xml:space="preserve">전기·전자 산업 ESG 등급 분석 인사이트 보고서</w:t>
      </w:r>
    </w:p>
    <w:p>
      <w:pPr>
        <w:spacing w:after="300"/>
        <w:jc w:val="center"/>
      </w:pPr>
      <w:r>
        <w:rPr>
          <w:rFonts w:ascii="Malgun Gothic" w:cs="Malgun Gothic" w:eastAsia="Malgun Gothic" w:hAnsi="Malgun Gothic"/>
          <w:i/>
          <w:iCs/>
          <w:color w:val="555555"/>
          <w:sz w:val="20"/>
          <w:szCs w:val="20"/>
        </w:rPr>
        <w:t xml:space="preserve">2022–2025 통합 데이터 · 1~3단계 EDA 공유용 · 발표 소요 약 10분</w:t>
      </w:r>
    </w:p>
    <w:p>
      <w:pPr>
        <w:pBdr>
          <w:bottom w:val="single" w:color="B7C6DB" w:sz="6" w:space="1"/>
        </w:pBdr>
        <w:spacing w:after="200" w:before="60"/>
      </w:pPr>
      <w:r>
        <w:rPr>
          <w:sz w:val="2"/>
          <w:szCs w:val="2"/>
        </w:rPr>
        <w:t xml:space="preserve"/>
      </w:r>
    </w:p>
    <w:p>
      <w:pPr>
        <w:spacing w:after="160" w:line="300"/>
      </w:pPr>
      <w:r>
        <w:rPr>
          <w:rFonts w:ascii="Malgun Gothic" w:cs="Malgun Gothic" w:eastAsia="Malgun Gothic" w:hAnsi="Malgun Gothic"/>
          <w:sz w:val="20"/>
          <w:szCs w:val="20"/>
        </w:rPr>
        <w:t xml:space="preserve">본 보고서는 전기·전자 산업 ESG 등급 리서치 액션플랜 중 1단계(산업 전체 EDA), 2단계(세부 섹터 EDA), 3단계(벤치마킹·최하위 기업 선정 방향성)에서 도출한 차트 12종을 1번부터 7-2번까지 순서대로 설명하며, 각 차트가 보여주는 인사이트를 중심으로(약 80%) 다음 단계로 이어지는 방향성(약 20%)을 함께 제시한다.</w:t>
      </w:r>
    </w:p>
    <w:p>
      <w:pPr>
        <w:pStyle w:val="Heading1"/>
        <w:spacing w:after="140" w:before="320"/>
      </w:pPr>
      <w:r>
        <w:rPr>
          <w:rFonts w:ascii="Malgun Gothic" w:cs="Malgun Gothic" w:eastAsia="Malgun Gothic" w:hAnsi="Malgun Gothic"/>
          <w:b/>
          <w:bCs/>
          <w:color w:val="1F3864"/>
          <w:sz w:val="30"/>
          <w:szCs w:val="30"/>
        </w:rPr>
        <w:t xml:space="preserve">1. 전체 ESG 등급 분포 (2022–2025)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1400"/>
        <w:gridCol w:w="1400"/>
      </w:tblGrid>
      <w:tr>
        <w:trPr>
          <w:tblHeader/>
        </w:trPr>
        <w:tc>
          <w:tcPr>
            <w:tcW w:type="dxa" w:w="12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등급</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A+</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A</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B+</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B</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C</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D</w:t>
            </w:r>
          </w:p>
        </w:tc>
      </w:tr>
      <w:tr>
        <w:tc>
          <w:tcPr>
            <w:tcW w:type="dxa" w:w="12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건수</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4건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61건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41건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24건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94건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140건</w:t>
            </w:r>
          </w:p>
        </w:tc>
      </w:tr>
      <w:tr>
        <w:tc>
          <w:tcPr>
            <w:tcW w:type="dxa" w:w="12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비중</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1.1%</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16.8%</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11.3%</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6.6%</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25.8%</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38.5%</w:t>
            </w:r>
          </w:p>
        </w:tc>
      </w:tr>
    </w:tbl>
    <w:p>
      <w:pPr>
        <w:spacing w:before="160"/>
      </w:pP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2022~2025년 누적 364건 중 D등급이 140건(38.5%)으로 단일 등급 중 최다이며, C등급(94건, 25.8%)을 더한 하위(C+D) 비중이 64.3%에 달한다. 반면 A+~B+ 상위 등급은 29.2%에 그치고, 그중 A+는 단 4건(1.1%)뿐이다. 전기·전자 산업 전체가 하위 등급 쪽으로 뚜렷하게 치우친 비대칭 분포를 보인다.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이 하위 64% 구간을 어떻게 세분화해 최하위 후보를 추릴지가 3단계 작업의 핵심 과제가 된다.</w:t>
      </w:r>
    </w:p>
    <w:p>
      <w:pPr>
        <w:pStyle w:val="Heading1"/>
        <w:spacing w:after="140" w:before="320"/>
      </w:pPr>
      <w:r>
        <w:rPr>
          <w:rFonts w:ascii="Malgun Gothic" w:cs="Malgun Gothic" w:eastAsia="Malgun Gothic" w:hAnsi="Malgun Gothic"/>
          <w:b/>
          <w:bCs/>
          <w:color w:val="1F3864"/>
          <w:sz w:val="30"/>
          <w:szCs w:val="30"/>
        </w:rPr>
        <w:t xml:space="preserve">2. 연도별 ESG 등급 분포 추이 (2022–2025)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700"/>
        <w:gridCol w:w="1400"/>
        <w:gridCol w:w="1700"/>
        <w:gridCol w:w="1900"/>
      </w:tblGrid>
      <w:tr>
        <w:trPr>
          <w:tblHeader/>
        </w:trPr>
        <w:tc>
          <w:tcPr>
            <w:tcW w:type="dxa" w:w="11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연도</w:t>
            </w:r>
          </w:p>
        </w:tc>
        <w:tc>
          <w:tcPr>
            <w:tcW w:type="dxa" w:w="16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평가 건수</w:t>
            </w:r>
          </w:p>
        </w:tc>
        <w:tc>
          <w:tcPr>
            <w:tcW w:type="dxa" w:w="17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상위
(A+~B+)</w:t>
            </w:r>
          </w:p>
        </w:tc>
        <w:tc>
          <w:tcPr>
            <w:tcW w:type="dxa" w:w="14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중위
(B)</w:t>
            </w:r>
          </w:p>
        </w:tc>
        <w:tc>
          <w:tcPr>
            <w:tcW w:type="dxa" w:w="17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하위
(C~D)</w:t>
            </w:r>
          </w:p>
        </w:tc>
        <w:tc>
          <w:tcPr>
            <w:tcW w:type="dxa" w:w="1900"/>
            <w:shd w:fill="1F3864"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하위 비중</w:t>
            </w:r>
          </w:p>
        </w:tc>
      </w:tr>
      <w:tr>
        <w:tc>
          <w:tcPr>
            <w:tcW w:type="dxa" w:w="11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2022</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84건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19건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6건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59건</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70.2%</w:t>
            </w:r>
          </w:p>
        </w:tc>
      </w:tr>
      <w:tr>
        <w:tc>
          <w:tcPr>
            <w:tcW w:type="dxa" w:w="11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2023</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86건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24건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57건</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66.3%</w:t>
            </w:r>
          </w:p>
        </w:tc>
      </w:tr>
      <w:tr>
        <w:tc>
          <w:tcPr>
            <w:tcW w:type="dxa" w:w="11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2024</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93건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28건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7건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58건</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62.4%</w:t>
            </w:r>
          </w:p>
        </w:tc>
      </w:tr>
      <w:tr>
        <w:tc>
          <w:tcPr>
            <w:tcW w:type="dxa" w:w="11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2025</w:t>
            </w:r>
          </w:p>
        </w:tc>
        <w:tc>
          <w:tcPr>
            <w:tcW w:type="dxa" w:w="16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101건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34건</w:t>
            </w:r>
          </w:p>
        </w:tc>
        <w:tc>
          <w:tcPr>
            <w:tcW w:type="dxa" w:w="14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9건</w:t>
            </w:r>
          </w:p>
        </w:tc>
        <w:tc>
          <w:tcPr>
            <w:tcW w:type="dxa" w:w="17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58건</w:t>
            </w:r>
          </w:p>
        </w:tc>
        <w:tc>
          <w:tcPr>
            <w:tcW w:type="dxa" w:w="1900"/>
            <w:tcMar>
              <w:top w:type="dxa" w:w="60"/>
              <w:left w:type="dxa" w:w="100"/>
              <w:bottom w:type="dxa" w:w="60"/>
              <w:right w:type="dxa" w:w="100"/>
            </w:tcMar>
          </w:tcPr>
          <w:p>
            <w:pPr>
              <w:jc w:val="center"/>
            </w:pPr>
            <w:r>
              <w:rPr>
                <w:rFonts w:ascii="Malgun Gothic" w:cs="Malgun Gothic" w:eastAsia="Malgun Gothic" w:hAnsi="Malgun Gothic"/>
                <w:b w:val="false"/>
                <w:bCs w:val="false"/>
                <w:color w:val="000000"/>
                <w:sz w:val="18"/>
                <w:szCs w:val="18"/>
              </w:rPr>
              <w:t xml:space="preserve">57.4%</w:t>
            </w:r>
          </w:p>
        </w:tc>
      </w:tr>
    </w:tbl>
    <w:p>
      <w:pPr>
        <w:spacing w:before="160"/>
      </w:pP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평가 대상 모집단이 84건→101건으로 4년간 약 20% 늘었고, 하위(C+D) 비중은 70.2%→57.4%로 매년 꾸준히 낮아졌다. 반대로 상위(A+~B+) 비중은 22.6%→33.7%로 상승했고, A+ 등급은 2024년에 처음 등장했다. 다만 D등급 절대 건수(41→31→29→39건)는 크게 줄지 않아, 구성비 개선이 신규 편입 기업 증가에 따른 효과인지 기존 기업의 실제 등급 상승인지는 이 그래프만으로는 구분되지 않는다.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동일 기업을 연도별로 추적해 '구성비 개선'과 '개별 기업 개선'을 구분하는 작업을 4단계 기업분석에 반영할 것을 제안한다.</w:t>
      </w:r>
    </w:p>
    <w:p>
      <w:pPr>
        <w:pStyle w:val="Heading1"/>
        <w:spacing w:after="140" w:before="320"/>
      </w:pPr>
      <w:r>
        <w:rPr>
          <w:rFonts w:ascii="Malgun Gothic" w:cs="Malgun Gothic" w:eastAsia="Malgun Gothic" w:hAnsi="Malgun Gothic"/>
          <w:b/>
          <w:bCs/>
          <w:color w:val="1F3864"/>
          <w:sz w:val="30"/>
          <w:szCs w:val="30"/>
        </w:rPr>
        <w:t xml:space="preserve">3. 전기전자업 6대 세부 섹터별 기업 수 분포</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6대 세부 섹터 중 IT장비 및 부품이 68개사로 전체 101개사의 67.3%를 차지해 압도적으로 많고, 나머지 5개 섹터(반도체 11, 전력기기 및 전선 9, 이차전지 및 전장 8, 디스플레이 4, 가전 및 가전제품 1)를 모두 합쳐도 32.7%에 불과하다.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IT장비 및 부품 섹터가 전체 통계를 사실상 좌우하므로, 산업 전체 지표와 별도로 섹터별 가중치를 반영한 분석 트랙이 필요하다. 가전(1개사)·디스플레이(4개사)처럼 표본이 매우 작은 섹터는 일반화에 주의가 필요하다.</w:t>
      </w:r>
    </w:p>
    <w:p>
      <w:pPr>
        <w:pStyle w:val="Heading1"/>
        <w:spacing w:after="140" w:before="320"/>
      </w:pPr>
      <w:r>
        <w:rPr>
          <w:rFonts w:ascii="Malgun Gothic" w:cs="Malgun Gothic" w:eastAsia="Malgun Gothic" w:hAnsi="Malgun Gothic"/>
          <w:b/>
          <w:bCs/>
          <w:color w:val="1F3864"/>
          <w:sz w:val="30"/>
          <w:szCs w:val="30"/>
        </w:rPr>
        <w:t xml:space="preserve">4. 4개 주요 섹터별 ESG 등급 분포 (기업 수 기준)</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반도체(A+0·A3·B+1·B0·C3·D4)와 디스플레이(A2·C1·D1)는 중간 등급이 거의 없이 대기업군과 중소형사군으로 양극화되어 있다. 전력기기 및 전선은 A+1·A2·B+1·B1·C1·D3로 6개 등급에 고르게 걸쳐 있어 4개 섹터 중 분포가 가장 균형적이다. IT장비 및 부품은 D 31개사(45.6%)·C 14개사(20.6%)로 하위 비중이 66.2%에 달해, 산업 전체의 하위등급 쏠림을 사실상 이 섹터가 주도하고 있음을 확인할 수 있다.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반도체·디스플레이형(소수 대기업 중심 개선)과 IT장비형(다수 중소형사의 상향 평준화)은 접근 방식을 다르게 설계할 필요가 있다.</w:t>
      </w:r>
    </w:p>
    <w:p>
      <w:pPr>
        <w:pStyle w:val="Heading1"/>
        <w:spacing w:after="140" w:before="320"/>
      </w:pPr>
      <w:r>
        <w:rPr>
          <w:rFonts w:ascii="Malgun Gothic" w:cs="Malgun Gothic" w:eastAsia="Malgun Gothic" w:hAnsi="Malgun Gothic"/>
          <w:b/>
          <w:bCs/>
          <w:color w:val="1F3864"/>
          <w:sz w:val="30"/>
          <w:szCs w:val="30"/>
        </w:rPr>
        <w:t xml:space="preserve">5. 세부 섹터별 기업 ESG 등급순 나열</w:t>
      </w:r>
    </w:p>
    <w:p>
      <w:pPr>
        <w:pStyle w:val="Heading2"/>
        <w:spacing w:after="100" w:before="200"/>
      </w:pPr>
      <w:r>
        <w:rPr>
          <w:rFonts w:ascii="Malgun Gothic" w:cs="Malgun Gothic" w:eastAsia="Malgun Gothic" w:hAnsi="Malgun Gothic"/>
          <w:b/>
          <w:bCs/>
          <w:color w:val="2E5395"/>
          <w:sz w:val="24"/>
          <w:szCs w:val="24"/>
        </w:rPr>
        <w:t xml:space="preserve">5-1. 반도체 (총 11개사)</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SK하이닉스·삼성전자·해성디에스(A) 3개사가 상위를 형성하고, DB하이텍(B+) 이후 네패스·칩스앤미디어·하나마이크론(C), KEC·리노공업·시그네틱스·제주반도체(D) 4개사로 이어져 '빅3 대 나머지 7개사' 구도가 뚜렷하다.</w:t>
      </w:r>
    </w:p>
    <w:p>
      <w:pPr>
        <w:pStyle w:val="Heading2"/>
        <w:spacing w:after="100" w:before="200"/>
      </w:pPr>
      <w:r>
        <w:rPr>
          <w:rFonts w:ascii="Malgun Gothic" w:cs="Malgun Gothic" w:eastAsia="Malgun Gothic" w:hAnsi="Malgun Gothic"/>
          <w:b/>
          <w:bCs/>
          <w:color w:val="2E5395"/>
          <w:sz w:val="24"/>
          <w:szCs w:val="24"/>
        </w:rPr>
        <w:t xml:space="preserve">5-2. 디스플레이 (총 4개사)</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LG디스플레이·LX세미콘(A)과 덕산네오룩스(C)·일진디스플레이(D)로 정확히 2 대 2로 양분되어, 완제품 대기업과 소재 협력사 간 격차가 그대로 드러난다.</w:t>
      </w:r>
    </w:p>
    <w:p>
      <w:pPr>
        <w:pStyle w:val="Heading2"/>
        <w:spacing w:after="100" w:before="200"/>
      </w:pPr>
      <w:r>
        <w:rPr>
          <w:rFonts w:ascii="Malgun Gothic" w:cs="Malgun Gothic" w:eastAsia="Malgun Gothic" w:hAnsi="Malgun Gothic"/>
          <w:b/>
          <w:bCs/>
          <w:color w:val="2E5395"/>
          <w:sz w:val="24"/>
          <w:szCs w:val="24"/>
        </w:rPr>
        <w:t xml:space="preserve">5-3. 전력기기 및 전선 (총 9개사)</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HD현대일렉트릭(A+)이 6대 세부 섹터를 통틀어 유일한 A+ 보유 기업이며, HD현대에너지솔루션·대한전선(A)부터 KH바텍·광명전기·일진전기(D)까지 A+~D 전 구간에 계단식으로 분포한다. 6개 섹터 중 등급 스펙트럼이 가장 고른 섹터다.</w:t>
      </w:r>
    </w:p>
    <w:p>
      <w:pPr>
        <w:pStyle w:val="Heading2"/>
        <w:spacing w:after="100" w:before="200"/>
      </w:pPr>
      <w:r>
        <w:rPr>
          <w:rFonts w:ascii="Malgun Gothic" w:cs="Malgun Gothic" w:eastAsia="Malgun Gothic" w:hAnsi="Malgun Gothic"/>
          <w:b/>
          <w:bCs/>
          <w:color w:val="2E5395"/>
          <w:sz w:val="24"/>
          <w:szCs w:val="24"/>
        </w:rPr>
        <w:t xml:space="preserve">5-4. IT장비 및 부품 (총 68개사)</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LG이노텍·두산퓨얼셀·삼성전기·신텍·엘에스일렉트릭·한솔테크닉스·한화시스템 등 A등급 7개사를 제외하면 B+ 10개사·B 6개사·C 14개사·D 31개사로 완만하게 하위로 쏠리며, 68개사 중 약 46%가 D등급이다.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세부 섹터 EDA는 '각 섹터가 어떤 사업을 하는 곳인지 이해'하는 2단계 목적과 직결된다. 완제품(대기업) 대 소재·부품(중소형사)이라는 밸류체인상 위치가 등급과 실제로 상관관계를 갖는지를 다음 분석에서 검증할 것을 제안한다.</w:t>
      </w:r>
    </w:p>
    <w:p>
      <w:pPr>
        <w:pStyle w:val="Heading1"/>
        <w:spacing w:after="140" w:before="320"/>
      </w:pPr>
      <w:r>
        <w:rPr>
          <w:rFonts w:ascii="Malgun Gothic" w:cs="Malgun Gothic" w:eastAsia="Malgun Gothic" w:hAnsi="Malgun Gothic"/>
          <w:b/>
          <w:bCs/>
          <w:color w:val="1F3864"/>
          <w:sz w:val="30"/>
          <w:szCs w:val="30"/>
        </w:rPr>
        <w:t xml:space="preserve">6. 우수·최하위 기업 E/S/G 세부 등급 비교</w:t>
      </w:r>
    </w:p>
    <w:p>
      <w:pPr>
        <w:pStyle w:val="Heading2"/>
        <w:spacing w:after="100" w:before="200"/>
      </w:pPr>
      <w:r>
        <w:rPr>
          <w:rFonts w:ascii="Malgun Gothic" w:cs="Malgun Gothic" w:eastAsia="Malgun Gothic" w:hAnsi="Malgun Gothic"/>
          <w:b/>
          <w:bCs/>
          <w:color w:val="2E5395"/>
          <w:sz w:val="24"/>
          <w:szCs w:val="24"/>
        </w:rPr>
        <w:t xml:space="preserve">6-1. 반도체</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우수 3개사(SK하이닉스·삼성전자·해성디에스)는 환경(E)·사회(S)가 A~A+ 수준이지만 지배구조(G)는 셋 다 B+에 그쳐, 최우수 기업조차 지배구조가 상대적 약점으로 나타난다. 최하위군(KEC·리노공업·시그네틱스·제주반도체·네패스)은 대체로 D 수준이며, 그중에서도 사회(S) 항목이 가장 취약하다.</w:t>
      </w:r>
    </w:p>
    <w:p>
      <w:pPr>
        <w:pStyle w:val="Heading2"/>
        <w:spacing w:after="100" w:before="200"/>
      </w:pPr>
      <w:r>
        <w:rPr>
          <w:rFonts w:ascii="Malgun Gothic" w:cs="Malgun Gothic" w:eastAsia="Malgun Gothic" w:hAnsi="Malgun Gothic"/>
          <w:b/>
          <w:bCs/>
          <w:color w:val="2E5395"/>
          <w:sz w:val="24"/>
          <w:szCs w:val="24"/>
        </w:rPr>
        <w:t xml:space="preserve">6-2. IT장비 및 부품</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우수 기업군은 사회(S)가 전원 A+, 환경(E)도 A 이상이지만 지배구조(G)는 B+~A로 세 항목 중 가장 낮다. 최하위 5개사(RFHIC·가온칩스·경인전자·광전자·금호전기)는 반대로 지배구조(G)가 전원 C~D로 가장 취약한 항목이다.</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두 섹터 모두 '지배구조(G)가 우수 기업에서도 상대적 약점이고, 최하위 기업에서는 가장 취약한 항목'이라는 동일한 패턴이 반복된다. 이는 개별 기업의 문제가 아니라 전기·전자 산업 전반에 걸친 구조적 취약 지점일 가능성을 시사한다.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3단계 벤치마킹 대상은 E/S/G 세 축 중 2개 이상이 A등급인 기업(SK하이닉스·삼성전자·해성디에스·LG이노텍 등)을 우선 검토하되, 지배구조 우수 사례는 현재 데이터에서 희소하므로 별도로 발굴이 필요하다. 최하위 후보는 반도체 D등급 4개사와 IT장비 5개사(RFHIC·가온칩스·경인전자·광전자·금호전기)를 1차 리스트로 제안하며, 다음 EDA에서는 지배구조(G) 세부 항목(이사회 구성, 감사기구 등)을 우선 조사 대상으로 상정한다.</w:t>
      </w:r>
    </w:p>
    <w:p>
      <w:pPr>
        <w:pStyle w:val="Heading1"/>
        <w:spacing w:after="140" w:before="320"/>
      </w:pPr>
      <w:r>
        <w:rPr>
          <w:rFonts w:ascii="Malgun Gothic" w:cs="Malgun Gothic" w:eastAsia="Malgun Gothic" w:hAnsi="Malgun Gothic"/>
          <w:b/>
          <w:bCs/>
          <w:color w:val="1F3864"/>
          <w:sz w:val="30"/>
          <w:szCs w:val="30"/>
        </w:rPr>
        <w:t xml:space="preserve">7. 보고서(지속가능경영·기업지배구조) 2종 발급 현황</w:t>
      </w:r>
    </w:p>
    <w:p>
      <w:pPr>
        <w:pStyle w:val="Heading2"/>
        <w:spacing w:after="100" w:before="200"/>
      </w:pPr>
      <w:r>
        <w:rPr>
          <w:rFonts w:ascii="Malgun Gothic" w:cs="Malgun Gothic" w:eastAsia="Malgun Gothic" w:hAnsi="Malgun Gothic"/>
          <w:b/>
          <w:bCs/>
          <w:color w:val="2E5395"/>
          <w:sz w:val="24"/>
          <w:szCs w:val="24"/>
        </w:rPr>
        <w:t xml:space="preserve">7-1. 반도체</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표시된 8개사 중 해성디에스만 지속가능경영보고서·기업지배구조보고서 2종을 모두 발급했고, SK하이닉스·삼성전자 등 A등급 대기업조차 미발급으로 나타난다. 이 섹터에서는 등급과 보고서 발급 여부 간 상관관계가 거의 확인되지 않는다.</w:t>
      </w:r>
    </w:p>
    <w:p>
      <w:pPr>
        <w:pStyle w:val="Heading2"/>
        <w:spacing w:after="100" w:before="200"/>
      </w:pPr>
      <w:r>
        <w:rPr>
          <w:rFonts w:ascii="Malgun Gothic" w:cs="Malgun Gothic" w:eastAsia="Malgun Gothic" w:hAnsi="Malgun Gothic"/>
          <w:b/>
          <w:bCs/>
          <w:color w:val="2E5395"/>
          <w:sz w:val="24"/>
          <w:szCs w:val="24"/>
        </w:rPr>
        <w:t xml:space="preserve">7-2. IT장비 및 부품</w:t>
      </w:r>
    </w:p>
    <w:p>
      <w:pPr>
        <w:spacing w:after="100" w:line="300"/>
      </w:pPr>
      <w:r>
        <w:rPr>
          <w:rFonts w:ascii="Malgun Gothic" w:cs="Malgun Gothic" w:eastAsia="Malgun Gothic" w:hAnsi="Malgun Gothic"/>
          <w:b/>
          <w:bCs/>
          <w:color w:val="C0392B"/>
          <w:sz w:val="20"/>
          <w:szCs w:val="20"/>
        </w:rPr>
        <w:t xml:space="preserve">[인사이트] </w:t>
      </w:r>
      <w:r>
        <w:rPr>
          <w:rFonts w:ascii="Malgun Gothic" w:cs="Malgun Gothic" w:eastAsia="Malgun Gothic" w:hAnsi="Malgun Gothic"/>
          <w:sz w:val="20"/>
          <w:szCs w:val="20"/>
        </w:rPr>
        <w:t xml:space="preserve">표시된 12개사 중 LG이노텍·두산퓨얼셀·삼성전기·엘에스일렉트릭·한화시스템 5개사가 2종을 모두 발급했고, 한솔테크닉스는 지배구조보고서만 발급했다. A등급인 신텍은 2종 모두 미발급이며, 최하위 5개사는 전원 미발급이다. IT장비 섹터는 반도체와 달리 등급과 공시 여부 간 상관관계가 비교적 뚜렷하게 나타난다.</w:t>
      </w:r>
    </w:p>
    <w:p>
      <w:pPr>
        <w:spacing w:after="220" w:line="300"/>
      </w:pPr>
      <w:r>
        <w:rPr>
          <w:rFonts w:ascii="Malgun Gothic" w:cs="Malgun Gothic" w:eastAsia="Malgun Gothic" w:hAnsi="Malgun Gothic"/>
          <w:b/>
          <w:bCs/>
          <w:color w:val="1F6F43"/>
          <w:sz w:val="20"/>
          <w:szCs w:val="20"/>
        </w:rPr>
        <w:t xml:space="preserve">[방향성] </w:t>
      </w:r>
      <w:r>
        <w:rPr>
          <w:rFonts w:ascii="Malgun Gothic" w:cs="Malgun Gothic" w:eastAsia="Malgun Gothic" w:hAnsi="Malgun Gothic"/>
          <w:sz w:val="20"/>
          <w:szCs w:val="20"/>
        </w:rPr>
        <w:t xml:space="preserve">SK하이닉스·삼성전자처럼 등급은 높지만 보고서 미발급으로 표시된 사례는 실제 미발간인지, 그룹 통합보고서 발간 등으로 인한 데이터 매칭 누락인지 4단계 기업분석 단계에서 원자료를 재확인할 필요가 있다. 신텍처럼 등급은 높으나 공시 이력이 없는 기업은 4단계 심층 분석의 우선순위 후보로 제안한다.</w:t>
      </w:r>
    </w:p>
    <w:p>
      <w:pPr>
        <w:pStyle w:val="Heading1"/>
        <w:spacing w:after="140" w:before="320"/>
      </w:pPr>
      <w:r>
        <w:rPr>
          <w:rFonts w:ascii="Malgun Gothic" w:cs="Malgun Gothic" w:eastAsia="Malgun Gothic" w:hAnsi="Malgun Gothic"/>
          <w:b/>
          <w:bCs/>
          <w:color w:val="1F3864"/>
          <w:sz w:val="30"/>
          <w:szCs w:val="30"/>
        </w:rPr>
        <w:t xml:space="preserve">종합 방향성 제안</w:t>
      </w:r>
    </w:p>
    <w:p>
      <w:pPr>
        <w:pStyle w:val="ListParagraph"/>
        <w:numPr>
          <w:ilvl w:val="0"/>
          <w:numId w:val="1"/>
        </w:numPr>
        <w:spacing w:after="100" w:line="280"/>
      </w:pPr>
      <w:r>
        <w:rPr>
          <w:rFonts w:ascii="Malgun Gothic" w:cs="Malgun Gothic" w:eastAsia="Malgun Gothic" w:hAnsi="Malgun Gothic"/>
          <w:sz w:val="20"/>
          <w:szCs w:val="20"/>
        </w:rPr>
        <w:t xml:space="preserve">벤치마킹 후보: SK하이닉스·삼성전자·해성디에스(반도체), HD현대일렉트릭(전력기기), LG이노텍 등 IT장비 A등급 7개사 — E/S/G 균형 우수 기업 중심, 단 지배구조 우수 사례는 추가 발굴 필요</w:t>
      </w:r>
    </w:p>
    <w:p>
      <w:pPr>
        <w:pStyle w:val="ListParagraph"/>
        <w:numPr>
          <w:ilvl w:val="0"/>
          <w:numId w:val="1"/>
        </w:numPr>
        <w:spacing w:after="100" w:line="280"/>
      </w:pPr>
      <w:r>
        <w:rPr>
          <w:rFonts w:ascii="Malgun Gothic" w:cs="Malgun Gothic" w:eastAsia="Malgun Gothic" w:hAnsi="Malgun Gothic"/>
          <w:sz w:val="20"/>
          <w:szCs w:val="20"/>
        </w:rPr>
        <w:t xml:space="preserve">최하위 후보(1차 리스트): 반도체 D등급 4개사(KEC·리노공업·시그네틱스·제주반도체), 디스플레이 일진디스플레이, 전력기기 3개사(KH바텍·광명전기·일진전기), IT장비 5개사(RFHIC·가온칩스·경인전자·광전자·금호전기)</w:t>
      </w:r>
    </w:p>
    <w:p>
      <w:pPr>
        <w:pStyle w:val="ListParagraph"/>
        <w:numPr>
          <w:ilvl w:val="0"/>
          <w:numId w:val="1"/>
        </w:numPr>
        <w:spacing w:after="100" w:line="280"/>
      </w:pPr>
      <w:r>
        <w:rPr>
          <w:rFonts w:ascii="Malgun Gothic" w:cs="Malgun Gothic" w:eastAsia="Malgun Gothic" w:hAnsi="Malgun Gothic"/>
          <w:sz w:val="20"/>
          <w:szCs w:val="20"/>
        </w:rPr>
        <w:t xml:space="preserve">IT장비 및 부품 섹터는 표본(68개사)이 커 위 리스트 외에도 매출 규모·상장 여부 등 추가 스크리닝 기준을 마련해 후보군을 보완할 것을 제안</w:t>
      </w:r>
    </w:p>
    <w:p>
      <w:pPr>
        <w:pStyle w:val="ListParagraph"/>
        <w:numPr>
          <w:ilvl w:val="0"/>
          <w:numId w:val="1"/>
        </w:numPr>
        <w:spacing w:after="100" w:line="280"/>
      </w:pPr>
      <w:r>
        <w:rPr>
          <w:rFonts w:ascii="Malgun Gothic" w:cs="Malgun Gothic" w:eastAsia="Malgun Gothic" w:hAnsi="Malgun Gothic"/>
          <w:sz w:val="20"/>
          <w:szCs w:val="20"/>
        </w:rPr>
        <w:t xml:space="preserve">지배구조(G)는 우수·최하위 기업 모두에서 공통적으로 드러난 취약 항목이므로 다음 EDA의 우선 조사 대상으로 상정</w:t>
      </w:r>
    </w:p>
    <w:p>
      <w:pPr>
        <w:pStyle w:val="ListParagraph"/>
        <w:numPr>
          <w:ilvl w:val="0"/>
          <w:numId w:val="1"/>
        </w:numPr>
        <w:spacing w:after="100" w:line="280"/>
      </w:pPr>
      <w:r>
        <w:rPr>
          <w:rFonts w:ascii="Malgun Gothic" w:cs="Malgun Gothic" w:eastAsia="Malgun Gothic" w:hAnsi="Malgun Gothic"/>
          <w:sz w:val="20"/>
          <w:szCs w:val="20"/>
        </w:rPr>
        <w:t xml:space="preserve">보고서 발급 여부와 등급 간 관계는 섹터별로 다르게 나타난 만큼, 원자료 검증 후 4단계 기업분석 지표로 채택할지 여부를 결정</w:t>
      </w:r>
    </w:p>
    <w:p>
      <w:pPr>
        <w:spacing w:after="160" w:line="300"/>
      </w:pPr>
      <w:r>
        <w:rPr>
          <w:rFonts w:ascii="Malgun Gothic" w:cs="Malgun Gothic" w:eastAsia="Malgun Gothic" w:hAnsi="Malgun Gothic"/>
          <w:sz w:val="20"/>
          <w:szCs w:val="20"/>
        </w:rPr>
        <w:t xml:space="preserve">1~2단계 EDA를 통해 산업 전체의 구조적 특징(하위 등급 쏠림, 연도별 개선 추세, 지배구조 공통 취약점, 섹터별 편차)을 확인했다. 다음 회의에서는 위 벤치마킹·최하위 기업 1차 리스트를 팀과 함께 확정하고, 4단계 기업 심층분석으로 넘어갈 것을 제안한다.</w:t>
      </w:r>
    </w:p>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2026-08-27T01:25:25.435Z</dcterms:created>
  <dcterms:modified xsi:type="dcterms:W3CDTF">2026-08-27T01:25:25.435Z</dcterms:modified>
</cp:coreProperties>
</file>

<file path=docProps/custom.xml><?xml version="1.0" encoding="utf-8"?>
<Properties xmlns="http://schemas.openxmlformats.org/officeDocument/2006/custom-properties" xmlns:vt="http://schemas.openxmlformats.org/officeDocument/2006/docPropsVTypes"/>
</file>