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3355A" w14:textId="0F5ECE92" w:rsidR="003E0533" w:rsidRPr="003E0533" w:rsidRDefault="003E0533" w:rsidP="003E0533">
      <w:pPr>
        <w:rPr>
          <w:rFonts w:ascii="Times New Roman" w:hAnsi="Times New Roman" w:cs="Times New Roman"/>
          <w:b/>
          <w:bCs/>
          <w:sz w:val="40"/>
          <w:szCs w:val="40"/>
        </w:rPr>
      </w:pPr>
      <w:r w:rsidRPr="003E0533">
        <w:rPr>
          <w:rFonts w:ascii="Times New Roman" w:hAnsi="Times New Roman" w:cs="Times New Roman"/>
          <w:b/>
          <w:bCs/>
          <w:sz w:val="40"/>
          <w:szCs w:val="40"/>
        </w:rPr>
        <w:t>K-Means Clustering and Markowitz Portfolio Optimization of Nifty 200 Stocks</w:t>
      </w:r>
    </w:p>
    <w:p w14:paraId="0882A33A" w14:textId="77777777" w:rsidR="003E0533" w:rsidRPr="00BF0C80" w:rsidRDefault="003E0533" w:rsidP="003E0533">
      <w:pPr>
        <w:rPr>
          <w:rFonts w:ascii="Times New Roman" w:hAnsi="Times New Roman" w:cs="Times New Roman"/>
          <w:b/>
          <w:bCs/>
          <w:sz w:val="28"/>
          <w:szCs w:val="28"/>
        </w:rPr>
      </w:pPr>
      <w:r w:rsidRPr="00BF0C80">
        <w:rPr>
          <w:rFonts w:ascii="Times New Roman" w:hAnsi="Times New Roman" w:cs="Times New Roman"/>
          <w:b/>
          <w:bCs/>
          <w:sz w:val="28"/>
          <w:szCs w:val="28"/>
        </w:rPr>
        <w:t>1. Introduction</w:t>
      </w:r>
    </w:p>
    <w:p w14:paraId="16BCA045" w14:textId="35CAD143" w:rsidR="003E0533" w:rsidRPr="003E0533" w:rsidRDefault="003E0533" w:rsidP="003E0533">
      <w:pPr>
        <w:rPr>
          <w:rFonts w:ascii="Times New Roman" w:hAnsi="Times New Roman" w:cs="Times New Roman"/>
        </w:rPr>
      </w:pPr>
      <w:r w:rsidRPr="003E0533">
        <w:rPr>
          <w:rFonts w:ascii="Times New Roman" w:hAnsi="Times New Roman" w:cs="Times New Roman"/>
        </w:rPr>
        <w:t xml:space="preserve">This project applies k-means clustering and Markowitz portfolio optimization to </w:t>
      </w:r>
      <w:r w:rsidR="00181214" w:rsidRPr="003E0533">
        <w:rPr>
          <w:rFonts w:ascii="Times New Roman" w:hAnsi="Times New Roman" w:cs="Times New Roman"/>
        </w:rPr>
        <w:t>analyse</w:t>
      </w:r>
      <w:r w:rsidRPr="003E0533">
        <w:rPr>
          <w:rFonts w:ascii="Times New Roman" w:hAnsi="Times New Roman" w:cs="Times New Roman"/>
        </w:rPr>
        <w:t xml:space="preserve"> Nifty 200 stocks </w:t>
      </w:r>
      <w:r w:rsidR="007C60BA" w:rsidRPr="0017177E">
        <w:rPr>
          <w:rFonts w:ascii="Times New Roman" w:hAnsi="Times New Roman" w:cs="Times New Roman"/>
        </w:rPr>
        <w:t xml:space="preserve">from 2021-01-13 to </w:t>
      </w:r>
      <w:r w:rsidR="007C60BA" w:rsidRPr="007C60BA">
        <w:rPr>
          <w:rFonts w:ascii="Times New Roman" w:hAnsi="Times New Roman" w:cs="Times New Roman"/>
        </w:rPr>
        <w:t>2024-02-13</w:t>
      </w:r>
      <w:r w:rsidR="007C60BA" w:rsidRPr="0017177E">
        <w:rPr>
          <w:rFonts w:ascii="Times New Roman" w:hAnsi="Times New Roman" w:cs="Times New Roman"/>
        </w:rPr>
        <w:t>.</w:t>
      </w:r>
      <w:r w:rsidRPr="003E0533">
        <w:rPr>
          <w:rFonts w:ascii="Times New Roman" w:hAnsi="Times New Roman" w:cs="Times New Roman"/>
        </w:rPr>
        <w:t>. The objective is to group stocks based on fundamental financial metrics, construct optimal portfolios for each cluster, and evaluate their performance against the Nifty 200 index. By focusing on intrinsic financial characteristics rather than market-driven metrics, the study provides actionable insights for investors with varying risk profiles.</w:t>
      </w:r>
    </w:p>
    <w:p w14:paraId="5D5D3362" w14:textId="2A0C1618" w:rsidR="003E0533" w:rsidRPr="003E0533" w:rsidRDefault="003E0533" w:rsidP="003E0533">
      <w:pPr>
        <w:rPr>
          <w:rFonts w:ascii="Times New Roman" w:hAnsi="Times New Roman" w:cs="Times New Roman"/>
        </w:rPr>
      </w:pPr>
      <w:r w:rsidRPr="003E0533">
        <w:rPr>
          <w:rFonts w:ascii="Times New Roman" w:hAnsi="Times New Roman" w:cs="Times New Roman"/>
        </w:rPr>
        <w:t>The analysis evaluates </w:t>
      </w:r>
      <w:r w:rsidR="007C60BA" w:rsidRPr="0017177E">
        <w:rPr>
          <w:rFonts w:ascii="Times New Roman" w:hAnsi="Times New Roman" w:cs="Times New Roman"/>
        </w:rPr>
        <w:t>Re</w:t>
      </w:r>
      <w:r w:rsidRPr="003E0533">
        <w:rPr>
          <w:rFonts w:ascii="Times New Roman" w:hAnsi="Times New Roman" w:cs="Times New Roman"/>
        </w:rPr>
        <w:t>ward-to-risk ratio</w:t>
      </w:r>
      <w:r w:rsidR="007C60BA" w:rsidRPr="0017177E">
        <w:rPr>
          <w:rFonts w:ascii="Times New Roman" w:hAnsi="Times New Roman" w:cs="Times New Roman"/>
          <w:b/>
          <w:bCs/>
        </w:rPr>
        <w:t xml:space="preserve">, </w:t>
      </w:r>
      <w:r w:rsidRPr="003E0533">
        <w:rPr>
          <w:rFonts w:ascii="Times New Roman" w:hAnsi="Times New Roman" w:cs="Times New Roman"/>
        </w:rPr>
        <w:t xml:space="preserve">Sharpe Ratio, Treynor Ratio, </w:t>
      </w:r>
      <w:r w:rsidR="0017177E" w:rsidRPr="0017177E">
        <w:rPr>
          <w:rFonts w:ascii="Times New Roman" w:hAnsi="Times New Roman" w:cs="Times New Roman"/>
        </w:rPr>
        <w:t>beta, computes</w:t>
      </w:r>
      <w:r w:rsidRPr="003E0533">
        <w:rPr>
          <w:rFonts w:ascii="Times New Roman" w:hAnsi="Times New Roman" w:cs="Times New Roman"/>
        </w:rPr>
        <w:t> Value at Risk (VaR</w:t>
      </w:r>
      <w:r w:rsidRPr="003E0533">
        <w:rPr>
          <w:rFonts w:ascii="Times New Roman" w:hAnsi="Times New Roman" w:cs="Times New Roman"/>
          <w:b/>
          <w:bCs/>
        </w:rPr>
        <w:t>)</w:t>
      </w:r>
      <w:r w:rsidRPr="003E0533">
        <w:rPr>
          <w:rFonts w:ascii="Times New Roman" w:hAnsi="Times New Roman" w:cs="Times New Roman"/>
        </w:rPr>
        <w:t>, and interprets the risk-return trade-offs for each cluster portfolio. Python libraries such as Pandas, NumPy, Scikit-learn, and Matplotlib were used for data preprocessing, clustering, and performance evaluation</w:t>
      </w:r>
      <w:r w:rsidR="007C60BA" w:rsidRPr="0017177E">
        <w:rPr>
          <w:rFonts w:ascii="Times New Roman" w:hAnsi="Times New Roman" w:cs="Times New Roman"/>
        </w:rPr>
        <w:t>.</w:t>
      </w:r>
    </w:p>
    <w:p w14:paraId="5B8918E8" w14:textId="31D47538" w:rsidR="003E0533" w:rsidRPr="00BF0C80" w:rsidRDefault="003E0533" w:rsidP="003E0533">
      <w:pPr>
        <w:rPr>
          <w:rFonts w:ascii="Times New Roman" w:hAnsi="Times New Roman" w:cs="Times New Roman"/>
          <w:b/>
          <w:bCs/>
          <w:sz w:val="28"/>
          <w:szCs w:val="28"/>
        </w:rPr>
      </w:pPr>
      <w:r w:rsidRPr="00BF0C80">
        <w:rPr>
          <w:rFonts w:ascii="Times New Roman" w:hAnsi="Times New Roman" w:cs="Times New Roman"/>
          <w:b/>
          <w:bCs/>
          <w:sz w:val="28"/>
          <w:szCs w:val="28"/>
        </w:rPr>
        <w:t>2. Data Collection</w:t>
      </w:r>
    </w:p>
    <w:p w14:paraId="358D621C" w14:textId="77777777" w:rsidR="003E0533" w:rsidRPr="003E0533" w:rsidRDefault="003E0533" w:rsidP="003E0533">
      <w:pPr>
        <w:rPr>
          <w:rFonts w:ascii="Times New Roman" w:hAnsi="Times New Roman" w:cs="Times New Roman"/>
          <w:b/>
          <w:bCs/>
        </w:rPr>
      </w:pPr>
      <w:r w:rsidRPr="003E0533">
        <w:rPr>
          <w:rFonts w:ascii="Times New Roman" w:hAnsi="Times New Roman" w:cs="Times New Roman"/>
          <w:b/>
          <w:bCs/>
        </w:rPr>
        <w:t>Data Sources</w:t>
      </w:r>
    </w:p>
    <w:p w14:paraId="0BF9A03F" w14:textId="77777777" w:rsidR="003E0533" w:rsidRPr="003E0533" w:rsidRDefault="003E0533" w:rsidP="003E0533">
      <w:pPr>
        <w:numPr>
          <w:ilvl w:val="0"/>
          <w:numId w:val="1"/>
        </w:numPr>
        <w:rPr>
          <w:rFonts w:ascii="Times New Roman" w:hAnsi="Times New Roman" w:cs="Times New Roman"/>
        </w:rPr>
      </w:pPr>
      <w:r w:rsidRPr="003E0533">
        <w:rPr>
          <w:rFonts w:ascii="Times New Roman" w:hAnsi="Times New Roman" w:cs="Times New Roman"/>
          <w:b/>
          <w:bCs/>
        </w:rPr>
        <w:t>Screener Website</w:t>
      </w:r>
      <w:r w:rsidRPr="003E0533">
        <w:rPr>
          <w:rFonts w:ascii="Times New Roman" w:hAnsi="Times New Roman" w:cs="Times New Roman"/>
        </w:rPr>
        <w:t>: Extracted fundamental financial ratios for Nifty 200 stocks.</w:t>
      </w:r>
    </w:p>
    <w:p w14:paraId="02853CB9" w14:textId="77777777" w:rsidR="003E0533" w:rsidRPr="003E0533" w:rsidRDefault="003E0533" w:rsidP="003E0533">
      <w:pPr>
        <w:numPr>
          <w:ilvl w:val="0"/>
          <w:numId w:val="1"/>
        </w:numPr>
        <w:rPr>
          <w:rFonts w:ascii="Times New Roman" w:hAnsi="Times New Roman" w:cs="Times New Roman"/>
        </w:rPr>
      </w:pPr>
      <w:r w:rsidRPr="003E0533">
        <w:rPr>
          <w:rFonts w:ascii="Times New Roman" w:hAnsi="Times New Roman" w:cs="Times New Roman"/>
          <w:b/>
          <w:bCs/>
        </w:rPr>
        <w:t>NSE Website</w:t>
      </w:r>
      <w:r w:rsidRPr="003E0533">
        <w:rPr>
          <w:rFonts w:ascii="Times New Roman" w:hAnsi="Times New Roman" w:cs="Times New Roman"/>
        </w:rPr>
        <w:t>: Obtained ticker symbols corresponding to the stocks.</w:t>
      </w:r>
    </w:p>
    <w:p w14:paraId="4C7742A6" w14:textId="77777777" w:rsidR="003E0533" w:rsidRPr="003E0533" w:rsidRDefault="003E0533" w:rsidP="003E0533">
      <w:pPr>
        <w:numPr>
          <w:ilvl w:val="0"/>
          <w:numId w:val="1"/>
        </w:numPr>
        <w:rPr>
          <w:rFonts w:ascii="Times New Roman" w:hAnsi="Times New Roman" w:cs="Times New Roman"/>
        </w:rPr>
      </w:pPr>
      <w:r w:rsidRPr="003E0533">
        <w:rPr>
          <w:rFonts w:ascii="Times New Roman" w:hAnsi="Times New Roman" w:cs="Times New Roman"/>
          <w:b/>
          <w:bCs/>
        </w:rPr>
        <w:t>Yahoo Finance API</w:t>
      </w:r>
      <w:r w:rsidRPr="003E0533">
        <w:rPr>
          <w:rFonts w:ascii="Times New Roman" w:hAnsi="Times New Roman" w:cs="Times New Roman"/>
        </w:rPr>
        <w:t>: Used for historical stock price data.</w:t>
      </w:r>
    </w:p>
    <w:p w14:paraId="1644B20D" w14:textId="77777777" w:rsidR="003E0533" w:rsidRPr="003E0533" w:rsidRDefault="003E0533" w:rsidP="003E0533">
      <w:pPr>
        <w:numPr>
          <w:ilvl w:val="0"/>
          <w:numId w:val="1"/>
        </w:numPr>
        <w:rPr>
          <w:rFonts w:ascii="Times New Roman" w:hAnsi="Times New Roman" w:cs="Times New Roman"/>
        </w:rPr>
      </w:pPr>
      <w:r w:rsidRPr="003E0533">
        <w:rPr>
          <w:rFonts w:ascii="Times New Roman" w:hAnsi="Times New Roman" w:cs="Times New Roman"/>
          <w:b/>
          <w:bCs/>
        </w:rPr>
        <w:t>Upstox API</w:t>
      </w:r>
      <w:r w:rsidRPr="003E0533">
        <w:rPr>
          <w:rFonts w:ascii="Times New Roman" w:hAnsi="Times New Roman" w:cs="Times New Roman"/>
        </w:rPr>
        <w:t>: Retrieved Nifty 200 index data.</w:t>
      </w:r>
    </w:p>
    <w:p w14:paraId="646F5BBC" w14:textId="77777777" w:rsidR="003E0533" w:rsidRPr="003E0533" w:rsidRDefault="003E0533" w:rsidP="003E0533">
      <w:pPr>
        <w:numPr>
          <w:ilvl w:val="0"/>
          <w:numId w:val="1"/>
        </w:numPr>
        <w:rPr>
          <w:rFonts w:ascii="Times New Roman" w:hAnsi="Times New Roman" w:cs="Times New Roman"/>
        </w:rPr>
      </w:pPr>
      <w:r w:rsidRPr="003E0533">
        <w:rPr>
          <w:rFonts w:ascii="Times New Roman" w:hAnsi="Times New Roman" w:cs="Times New Roman"/>
          <w:b/>
          <w:bCs/>
        </w:rPr>
        <w:t>FRED API</w:t>
      </w:r>
      <w:r w:rsidRPr="003E0533">
        <w:rPr>
          <w:rFonts w:ascii="Times New Roman" w:hAnsi="Times New Roman" w:cs="Times New Roman"/>
        </w:rPr>
        <w:t>: Provided the risk-free rate (10-year Indian bond yield).</w:t>
      </w:r>
    </w:p>
    <w:p w14:paraId="1F1F3249" w14:textId="77777777" w:rsidR="003E0533" w:rsidRPr="003E0533" w:rsidRDefault="003E0533" w:rsidP="003E0533">
      <w:pPr>
        <w:rPr>
          <w:rFonts w:ascii="Times New Roman" w:hAnsi="Times New Roman" w:cs="Times New Roman"/>
          <w:b/>
          <w:bCs/>
        </w:rPr>
      </w:pPr>
      <w:r w:rsidRPr="003E0533">
        <w:rPr>
          <w:rFonts w:ascii="Times New Roman" w:hAnsi="Times New Roman" w:cs="Times New Roman"/>
          <w:b/>
          <w:bCs/>
        </w:rPr>
        <w:t>Preprocessing</w:t>
      </w:r>
    </w:p>
    <w:p w14:paraId="0AD8DF15" w14:textId="77777777" w:rsidR="003E0533" w:rsidRPr="003E0533" w:rsidRDefault="003E0533" w:rsidP="003E0533">
      <w:pPr>
        <w:numPr>
          <w:ilvl w:val="0"/>
          <w:numId w:val="2"/>
        </w:numPr>
        <w:rPr>
          <w:rFonts w:ascii="Times New Roman" w:hAnsi="Times New Roman" w:cs="Times New Roman"/>
        </w:rPr>
      </w:pPr>
      <w:r w:rsidRPr="003E0533">
        <w:rPr>
          <w:rFonts w:ascii="Times New Roman" w:hAnsi="Times New Roman" w:cs="Times New Roman"/>
        </w:rPr>
        <w:t>A structured CSV file was created containing stock tickers and their respective financial ratios.</w:t>
      </w:r>
    </w:p>
    <w:p w14:paraId="3CF2E3D3" w14:textId="00270881" w:rsidR="003E0533" w:rsidRPr="003E0533" w:rsidRDefault="003E0533" w:rsidP="003E0533">
      <w:pPr>
        <w:numPr>
          <w:ilvl w:val="0"/>
          <w:numId w:val="2"/>
        </w:numPr>
        <w:rPr>
          <w:rFonts w:ascii="Times New Roman" w:hAnsi="Times New Roman" w:cs="Times New Roman"/>
        </w:rPr>
      </w:pPr>
      <w:r w:rsidRPr="003E0533">
        <w:rPr>
          <w:rFonts w:ascii="Times New Roman" w:hAnsi="Times New Roman" w:cs="Times New Roman"/>
        </w:rPr>
        <w:t>Automated removal of stocks with failed data downloads from Yahoo Finance</w:t>
      </w:r>
      <w:r w:rsidR="00BE50F6">
        <w:rPr>
          <w:rFonts w:ascii="Times New Roman" w:hAnsi="Times New Roman" w:cs="Times New Roman"/>
        </w:rPr>
        <w:t xml:space="preserve"> </w:t>
      </w:r>
      <w:r w:rsidR="00BE50F6">
        <w:rPr>
          <w:rFonts w:ascii="Times New Roman" w:hAnsi="Times New Roman" w:cs="Times New Roman"/>
        </w:rPr>
        <w:t xml:space="preserve">and restructuring of </w:t>
      </w:r>
      <w:r w:rsidR="00BE50F6">
        <w:rPr>
          <w:rFonts w:ascii="Times New Roman" w:hAnsi="Times New Roman" w:cs="Times New Roman"/>
        </w:rPr>
        <w:t>data frame</w:t>
      </w:r>
      <w:r w:rsidR="000D72A4">
        <w:rPr>
          <w:rFonts w:ascii="Times New Roman" w:hAnsi="Times New Roman" w:cs="Times New Roman"/>
        </w:rPr>
        <w:t>,</w:t>
      </w:r>
      <w:r w:rsidRPr="003E0533">
        <w:rPr>
          <w:rFonts w:ascii="Times New Roman" w:hAnsi="Times New Roman" w:cs="Times New Roman"/>
        </w:rPr>
        <w:t xml:space="preserve"> ensured data completeness.</w:t>
      </w:r>
    </w:p>
    <w:p w14:paraId="4D1ADC29" w14:textId="77777777" w:rsidR="003E0533" w:rsidRPr="003E0533" w:rsidRDefault="003E0533" w:rsidP="003E0533">
      <w:pPr>
        <w:numPr>
          <w:ilvl w:val="0"/>
          <w:numId w:val="2"/>
        </w:numPr>
        <w:rPr>
          <w:rFonts w:ascii="Times New Roman" w:hAnsi="Times New Roman" w:cs="Times New Roman"/>
        </w:rPr>
      </w:pPr>
      <w:r w:rsidRPr="003E0533">
        <w:rPr>
          <w:rFonts w:ascii="Times New Roman" w:hAnsi="Times New Roman" w:cs="Times New Roman"/>
        </w:rPr>
        <w:t>Standardized financial features to ensure equal influence during clustering.</w:t>
      </w:r>
    </w:p>
    <w:p w14:paraId="1A7CE7D0" w14:textId="14F302E7" w:rsidR="003E0533" w:rsidRPr="003E0533" w:rsidRDefault="003E0533" w:rsidP="003E0533">
      <w:pPr>
        <w:numPr>
          <w:ilvl w:val="0"/>
          <w:numId w:val="2"/>
        </w:numPr>
        <w:rPr>
          <w:rFonts w:ascii="Times New Roman" w:hAnsi="Times New Roman" w:cs="Times New Roman"/>
        </w:rPr>
      </w:pPr>
      <w:r w:rsidRPr="003E0533">
        <w:rPr>
          <w:rFonts w:ascii="Times New Roman" w:hAnsi="Times New Roman" w:cs="Times New Roman"/>
        </w:rPr>
        <w:t>Stocks were sorted alphabetically</w:t>
      </w:r>
      <w:r w:rsidR="000D72A4">
        <w:rPr>
          <w:rFonts w:ascii="Times New Roman" w:hAnsi="Times New Roman" w:cs="Times New Roman"/>
        </w:rPr>
        <w:t xml:space="preserve">, </w:t>
      </w:r>
      <w:r w:rsidR="00BF0A1E">
        <w:rPr>
          <w:rFonts w:ascii="Times New Roman" w:hAnsi="Times New Roman" w:cs="Times New Roman"/>
        </w:rPr>
        <w:t>by</w:t>
      </w:r>
      <w:r w:rsidR="000D72A4">
        <w:rPr>
          <w:rFonts w:ascii="Times New Roman" w:hAnsi="Times New Roman" w:cs="Times New Roman"/>
        </w:rPr>
        <w:t xml:space="preserve"> their tickers,</w:t>
      </w:r>
      <w:r w:rsidRPr="003E0533">
        <w:rPr>
          <w:rFonts w:ascii="Times New Roman" w:hAnsi="Times New Roman" w:cs="Times New Roman"/>
        </w:rPr>
        <w:t xml:space="preserve"> to align with optimal weights during portfolio construction</w:t>
      </w:r>
      <w:r w:rsidR="007C60BA" w:rsidRPr="0017177E">
        <w:rPr>
          <w:rFonts w:ascii="Times New Roman" w:hAnsi="Times New Roman" w:cs="Times New Roman"/>
        </w:rPr>
        <w:t xml:space="preserve"> and dates of cluster returns and nifty 200 returns were aligned for beta calculation</w:t>
      </w:r>
      <w:r w:rsidR="00BF0A1E">
        <w:rPr>
          <w:rFonts w:ascii="Times New Roman" w:hAnsi="Times New Roman" w:cs="Times New Roman"/>
        </w:rPr>
        <w:t xml:space="preserve"> and cumulative returns.</w:t>
      </w:r>
    </w:p>
    <w:p w14:paraId="44D5E503" w14:textId="77777777" w:rsidR="003E0533" w:rsidRPr="003E0533" w:rsidRDefault="003E0533" w:rsidP="003E0533">
      <w:pPr>
        <w:numPr>
          <w:ilvl w:val="0"/>
          <w:numId w:val="2"/>
        </w:numPr>
        <w:rPr>
          <w:rFonts w:ascii="Times New Roman" w:hAnsi="Times New Roman" w:cs="Times New Roman"/>
        </w:rPr>
      </w:pPr>
      <w:r w:rsidRPr="003E0533">
        <w:rPr>
          <w:rFonts w:ascii="Times New Roman" w:hAnsi="Times New Roman" w:cs="Times New Roman"/>
        </w:rPr>
        <w:t>Time frame variables (start and end dates) were defined at the beginning of the code for consistency and automation.</w:t>
      </w:r>
    </w:p>
    <w:p w14:paraId="074D6879" w14:textId="77777777" w:rsidR="009A48E4" w:rsidRDefault="009A48E4" w:rsidP="003E0533">
      <w:pPr>
        <w:rPr>
          <w:rFonts w:ascii="Times New Roman" w:hAnsi="Times New Roman" w:cs="Times New Roman"/>
          <w:b/>
          <w:bCs/>
        </w:rPr>
      </w:pPr>
    </w:p>
    <w:p w14:paraId="022A20C0" w14:textId="77777777" w:rsidR="009A48E4" w:rsidRDefault="009A48E4" w:rsidP="003E0533">
      <w:pPr>
        <w:rPr>
          <w:rFonts w:ascii="Times New Roman" w:hAnsi="Times New Roman" w:cs="Times New Roman"/>
          <w:b/>
          <w:bCs/>
        </w:rPr>
      </w:pPr>
    </w:p>
    <w:p w14:paraId="5CBF84BF" w14:textId="3FAD9B43" w:rsidR="003E0533" w:rsidRPr="00BF0C80" w:rsidRDefault="003E0533" w:rsidP="003E0533">
      <w:pPr>
        <w:rPr>
          <w:rFonts w:ascii="Times New Roman" w:hAnsi="Times New Roman" w:cs="Times New Roman"/>
          <w:b/>
          <w:bCs/>
          <w:sz w:val="28"/>
          <w:szCs w:val="28"/>
        </w:rPr>
      </w:pPr>
      <w:r w:rsidRPr="00BF0C80">
        <w:rPr>
          <w:rFonts w:ascii="Times New Roman" w:hAnsi="Times New Roman" w:cs="Times New Roman"/>
          <w:b/>
          <w:bCs/>
          <w:sz w:val="28"/>
          <w:szCs w:val="28"/>
        </w:rPr>
        <w:lastRenderedPageBreak/>
        <w:t>3. Selection of Factors</w:t>
      </w:r>
    </w:p>
    <w:p w14:paraId="3A54795D" w14:textId="77777777" w:rsidR="003E0533" w:rsidRPr="003E0533" w:rsidRDefault="003E0533" w:rsidP="003E0533">
      <w:pPr>
        <w:rPr>
          <w:rFonts w:ascii="Times New Roman" w:hAnsi="Times New Roman" w:cs="Times New Roman"/>
          <w:b/>
          <w:bCs/>
        </w:rPr>
      </w:pPr>
      <w:r w:rsidRPr="003E0533">
        <w:rPr>
          <w:rFonts w:ascii="Times New Roman" w:hAnsi="Times New Roman" w:cs="Times New Roman"/>
          <w:b/>
          <w:bCs/>
        </w:rPr>
        <w:t>Financial Metrics</w:t>
      </w:r>
    </w:p>
    <w:p w14:paraId="55C0C6CA" w14:textId="77777777" w:rsidR="003E0533" w:rsidRPr="003E0533" w:rsidRDefault="003E0533" w:rsidP="003E0533">
      <w:pPr>
        <w:rPr>
          <w:rFonts w:ascii="Times New Roman" w:hAnsi="Times New Roman" w:cs="Times New Roman"/>
        </w:rPr>
      </w:pPr>
      <w:r w:rsidRPr="003E0533">
        <w:rPr>
          <w:rFonts w:ascii="Times New Roman" w:hAnsi="Times New Roman" w:cs="Times New Roman"/>
        </w:rPr>
        <w:t>Eight fundamental factors were selected based on their ability to capture profitability, efficiency, growth potential, income generation, and financial stability:</w:t>
      </w:r>
    </w:p>
    <w:p w14:paraId="5F9723B3" w14:textId="77777777" w:rsidR="003E0533" w:rsidRPr="003E0533" w:rsidRDefault="003E0533" w:rsidP="003E0533">
      <w:pPr>
        <w:numPr>
          <w:ilvl w:val="0"/>
          <w:numId w:val="3"/>
        </w:numPr>
        <w:rPr>
          <w:rFonts w:ascii="Times New Roman" w:hAnsi="Times New Roman" w:cs="Times New Roman"/>
        </w:rPr>
      </w:pPr>
      <w:r w:rsidRPr="003E0533">
        <w:rPr>
          <w:rFonts w:ascii="Times New Roman" w:hAnsi="Times New Roman" w:cs="Times New Roman"/>
          <w:b/>
          <w:bCs/>
        </w:rPr>
        <w:t>ROE % (Return on Equity)</w:t>
      </w:r>
      <w:r w:rsidRPr="003E0533">
        <w:rPr>
          <w:rFonts w:ascii="Times New Roman" w:hAnsi="Times New Roman" w:cs="Times New Roman"/>
        </w:rPr>
        <w:t>: Measures profitability relative to shareholder equity.</w:t>
      </w:r>
    </w:p>
    <w:p w14:paraId="44416E95" w14:textId="77777777" w:rsidR="003E0533" w:rsidRPr="003E0533" w:rsidRDefault="003E0533" w:rsidP="003E0533">
      <w:pPr>
        <w:numPr>
          <w:ilvl w:val="0"/>
          <w:numId w:val="3"/>
        </w:numPr>
        <w:rPr>
          <w:rFonts w:ascii="Times New Roman" w:hAnsi="Times New Roman" w:cs="Times New Roman"/>
        </w:rPr>
      </w:pPr>
      <w:r w:rsidRPr="003E0533">
        <w:rPr>
          <w:rFonts w:ascii="Times New Roman" w:hAnsi="Times New Roman" w:cs="Times New Roman"/>
          <w:b/>
          <w:bCs/>
        </w:rPr>
        <w:t>ROCE % (Return on Capital Employed)</w:t>
      </w:r>
      <w:r w:rsidRPr="003E0533">
        <w:rPr>
          <w:rFonts w:ascii="Times New Roman" w:hAnsi="Times New Roman" w:cs="Times New Roman"/>
        </w:rPr>
        <w:t>: Evaluates efficiency in capital utilization.</w:t>
      </w:r>
    </w:p>
    <w:p w14:paraId="1D3C1AD4" w14:textId="77777777" w:rsidR="003E0533" w:rsidRPr="003E0533" w:rsidRDefault="003E0533" w:rsidP="003E0533">
      <w:pPr>
        <w:numPr>
          <w:ilvl w:val="0"/>
          <w:numId w:val="3"/>
        </w:numPr>
        <w:rPr>
          <w:rFonts w:ascii="Times New Roman" w:hAnsi="Times New Roman" w:cs="Times New Roman"/>
        </w:rPr>
      </w:pPr>
      <w:r w:rsidRPr="003E0533">
        <w:rPr>
          <w:rFonts w:ascii="Times New Roman" w:hAnsi="Times New Roman" w:cs="Times New Roman"/>
          <w:b/>
          <w:bCs/>
        </w:rPr>
        <w:t>OPM % (Operating Profit Margin)</w:t>
      </w:r>
      <w:r w:rsidRPr="003E0533">
        <w:rPr>
          <w:rFonts w:ascii="Times New Roman" w:hAnsi="Times New Roman" w:cs="Times New Roman"/>
        </w:rPr>
        <w:t>: Indicates operational efficiency.</w:t>
      </w:r>
    </w:p>
    <w:p w14:paraId="25DE028C" w14:textId="77777777" w:rsidR="003E0533" w:rsidRPr="003E0533" w:rsidRDefault="003E0533" w:rsidP="003E0533">
      <w:pPr>
        <w:numPr>
          <w:ilvl w:val="0"/>
          <w:numId w:val="3"/>
        </w:numPr>
        <w:rPr>
          <w:rFonts w:ascii="Times New Roman" w:hAnsi="Times New Roman" w:cs="Times New Roman"/>
        </w:rPr>
      </w:pPr>
      <w:r w:rsidRPr="003E0533">
        <w:rPr>
          <w:rFonts w:ascii="Times New Roman" w:hAnsi="Times New Roman" w:cs="Times New Roman"/>
          <w:b/>
          <w:bCs/>
        </w:rPr>
        <w:t>Free Cash Flow (Rs.Cr.)</w:t>
      </w:r>
      <w:r w:rsidRPr="003E0533">
        <w:rPr>
          <w:rFonts w:ascii="Times New Roman" w:hAnsi="Times New Roman" w:cs="Times New Roman"/>
        </w:rPr>
        <w:t>: Reflects cash generation capabilities beyond accounting profits.</w:t>
      </w:r>
    </w:p>
    <w:p w14:paraId="51146BEE" w14:textId="77777777" w:rsidR="003E0533" w:rsidRPr="003E0533" w:rsidRDefault="003E0533" w:rsidP="003E0533">
      <w:pPr>
        <w:numPr>
          <w:ilvl w:val="0"/>
          <w:numId w:val="3"/>
        </w:numPr>
        <w:rPr>
          <w:rFonts w:ascii="Times New Roman" w:hAnsi="Times New Roman" w:cs="Times New Roman"/>
        </w:rPr>
      </w:pPr>
      <w:r w:rsidRPr="003E0533">
        <w:rPr>
          <w:rFonts w:ascii="Times New Roman" w:hAnsi="Times New Roman" w:cs="Times New Roman"/>
          <w:b/>
          <w:bCs/>
        </w:rPr>
        <w:t>Piotroski Score</w:t>
      </w:r>
      <w:r w:rsidRPr="003E0533">
        <w:rPr>
          <w:rFonts w:ascii="Times New Roman" w:hAnsi="Times New Roman" w:cs="Times New Roman"/>
        </w:rPr>
        <w:t>: Composite measure of financial health.</w:t>
      </w:r>
    </w:p>
    <w:p w14:paraId="177D76B6" w14:textId="77777777" w:rsidR="003E0533" w:rsidRPr="003E0533" w:rsidRDefault="003E0533" w:rsidP="003E0533">
      <w:pPr>
        <w:numPr>
          <w:ilvl w:val="0"/>
          <w:numId w:val="3"/>
        </w:numPr>
        <w:rPr>
          <w:rFonts w:ascii="Times New Roman" w:hAnsi="Times New Roman" w:cs="Times New Roman"/>
        </w:rPr>
      </w:pPr>
      <w:r w:rsidRPr="003E0533">
        <w:rPr>
          <w:rFonts w:ascii="Times New Roman" w:hAnsi="Times New Roman" w:cs="Times New Roman"/>
          <w:b/>
          <w:bCs/>
        </w:rPr>
        <w:t>EPS Diluted Growth (%)</w:t>
      </w:r>
      <w:r w:rsidRPr="003E0533">
        <w:rPr>
          <w:rFonts w:ascii="Times New Roman" w:hAnsi="Times New Roman" w:cs="Times New Roman"/>
        </w:rPr>
        <w:t>: Captures earnings growth potential.</w:t>
      </w:r>
    </w:p>
    <w:p w14:paraId="433FD126" w14:textId="77777777" w:rsidR="003E0533" w:rsidRPr="003E0533" w:rsidRDefault="003E0533" w:rsidP="003E0533">
      <w:pPr>
        <w:numPr>
          <w:ilvl w:val="0"/>
          <w:numId w:val="3"/>
        </w:numPr>
        <w:rPr>
          <w:rFonts w:ascii="Times New Roman" w:hAnsi="Times New Roman" w:cs="Times New Roman"/>
        </w:rPr>
      </w:pPr>
      <w:r w:rsidRPr="003E0533">
        <w:rPr>
          <w:rFonts w:ascii="Times New Roman" w:hAnsi="Times New Roman" w:cs="Times New Roman"/>
          <w:b/>
          <w:bCs/>
        </w:rPr>
        <w:t>Dividend Yield (%)</w:t>
      </w:r>
      <w:r w:rsidRPr="003E0533">
        <w:rPr>
          <w:rFonts w:ascii="Times New Roman" w:hAnsi="Times New Roman" w:cs="Times New Roman"/>
        </w:rPr>
        <w:t>: Represents income generation for shareholders.</w:t>
      </w:r>
    </w:p>
    <w:p w14:paraId="02477F04" w14:textId="77777777" w:rsidR="003E0533" w:rsidRPr="003E0533" w:rsidRDefault="003E0533" w:rsidP="003E0533">
      <w:pPr>
        <w:numPr>
          <w:ilvl w:val="0"/>
          <w:numId w:val="3"/>
        </w:numPr>
        <w:rPr>
          <w:rFonts w:ascii="Times New Roman" w:hAnsi="Times New Roman" w:cs="Times New Roman"/>
        </w:rPr>
      </w:pPr>
      <w:r w:rsidRPr="003E0533">
        <w:rPr>
          <w:rFonts w:ascii="Times New Roman" w:hAnsi="Times New Roman" w:cs="Times New Roman"/>
          <w:b/>
          <w:bCs/>
        </w:rPr>
        <w:t>Debt/Equity Ratio</w:t>
      </w:r>
      <w:r w:rsidRPr="003E0533">
        <w:rPr>
          <w:rFonts w:ascii="Times New Roman" w:hAnsi="Times New Roman" w:cs="Times New Roman"/>
        </w:rPr>
        <w:t>: Measures leverage and financial risk.</w:t>
      </w:r>
    </w:p>
    <w:p w14:paraId="0BE078A0" w14:textId="77777777" w:rsidR="003E0533" w:rsidRPr="003E0533" w:rsidRDefault="003E0533" w:rsidP="003E0533">
      <w:pPr>
        <w:rPr>
          <w:rFonts w:ascii="Times New Roman" w:hAnsi="Times New Roman" w:cs="Times New Roman"/>
          <w:b/>
          <w:bCs/>
        </w:rPr>
      </w:pPr>
      <w:r w:rsidRPr="003E0533">
        <w:rPr>
          <w:rFonts w:ascii="Times New Roman" w:hAnsi="Times New Roman" w:cs="Times New Roman"/>
          <w:b/>
          <w:bCs/>
        </w:rPr>
        <w:t>Justification</w:t>
      </w:r>
    </w:p>
    <w:p w14:paraId="3D804022" w14:textId="77777777" w:rsidR="003E0533" w:rsidRPr="003E0533" w:rsidRDefault="003E0533" w:rsidP="003E0533">
      <w:pPr>
        <w:rPr>
          <w:rFonts w:ascii="Times New Roman" w:hAnsi="Times New Roman" w:cs="Times New Roman"/>
        </w:rPr>
      </w:pPr>
      <w:r w:rsidRPr="003E0533">
        <w:rPr>
          <w:rFonts w:ascii="Times New Roman" w:hAnsi="Times New Roman" w:cs="Times New Roman"/>
        </w:rPr>
        <w:t>These metrics provide a comprehensive view of a company's financial health:</w:t>
      </w:r>
    </w:p>
    <w:p w14:paraId="7C29370C" w14:textId="77777777" w:rsidR="003E0533" w:rsidRPr="003E0533" w:rsidRDefault="003E0533" w:rsidP="003E0533">
      <w:pPr>
        <w:numPr>
          <w:ilvl w:val="0"/>
          <w:numId w:val="4"/>
        </w:numPr>
        <w:rPr>
          <w:rFonts w:ascii="Times New Roman" w:hAnsi="Times New Roman" w:cs="Times New Roman"/>
        </w:rPr>
      </w:pPr>
      <w:r w:rsidRPr="003E0533">
        <w:rPr>
          <w:rFonts w:ascii="Times New Roman" w:hAnsi="Times New Roman" w:cs="Times New Roman"/>
        </w:rPr>
        <w:t>Profitability ratios (</w:t>
      </w:r>
      <w:r w:rsidRPr="003E0533">
        <w:rPr>
          <w:rFonts w:ascii="Times New Roman" w:hAnsi="Times New Roman" w:cs="Times New Roman"/>
          <w:b/>
          <w:bCs/>
        </w:rPr>
        <w:t>ROE</w:t>
      </w:r>
      <w:r w:rsidRPr="003E0533">
        <w:rPr>
          <w:rFonts w:ascii="Times New Roman" w:hAnsi="Times New Roman" w:cs="Times New Roman"/>
        </w:rPr>
        <w:t>, </w:t>
      </w:r>
      <w:r w:rsidRPr="003E0533">
        <w:rPr>
          <w:rFonts w:ascii="Times New Roman" w:hAnsi="Times New Roman" w:cs="Times New Roman"/>
          <w:b/>
          <w:bCs/>
        </w:rPr>
        <w:t>ROCE</w:t>
      </w:r>
      <w:r w:rsidRPr="003E0533">
        <w:rPr>
          <w:rFonts w:ascii="Times New Roman" w:hAnsi="Times New Roman" w:cs="Times New Roman"/>
        </w:rPr>
        <w:t>) highlight management efficiency in generating returns.</w:t>
      </w:r>
    </w:p>
    <w:p w14:paraId="5431CF0E" w14:textId="77777777" w:rsidR="003E0533" w:rsidRPr="003E0533" w:rsidRDefault="003E0533" w:rsidP="003E0533">
      <w:pPr>
        <w:numPr>
          <w:ilvl w:val="0"/>
          <w:numId w:val="4"/>
        </w:numPr>
        <w:rPr>
          <w:rFonts w:ascii="Times New Roman" w:hAnsi="Times New Roman" w:cs="Times New Roman"/>
        </w:rPr>
      </w:pPr>
      <w:r w:rsidRPr="003E0533">
        <w:rPr>
          <w:rFonts w:ascii="Times New Roman" w:hAnsi="Times New Roman" w:cs="Times New Roman"/>
        </w:rPr>
        <w:t>Operational metrics (</w:t>
      </w:r>
      <w:r w:rsidRPr="003E0533">
        <w:rPr>
          <w:rFonts w:ascii="Times New Roman" w:hAnsi="Times New Roman" w:cs="Times New Roman"/>
          <w:b/>
          <w:bCs/>
        </w:rPr>
        <w:t>OPM</w:t>
      </w:r>
      <w:r w:rsidRPr="003E0533">
        <w:rPr>
          <w:rFonts w:ascii="Times New Roman" w:hAnsi="Times New Roman" w:cs="Times New Roman"/>
        </w:rPr>
        <w:t>) reveal how well companies manage costs.</w:t>
      </w:r>
    </w:p>
    <w:p w14:paraId="15E12421" w14:textId="77777777" w:rsidR="003E0533" w:rsidRPr="003E0533" w:rsidRDefault="003E0533" w:rsidP="003E0533">
      <w:pPr>
        <w:numPr>
          <w:ilvl w:val="0"/>
          <w:numId w:val="4"/>
        </w:numPr>
        <w:rPr>
          <w:rFonts w:ascii="Times New Roman" w:hAnsi="Times New Roman" w:cs="Times New Roman"/>
        </w:rPr>
      </w:pPr>
      <w:r w:rsidRPr="003E0533">
        <w:rPr>
          <w:rFonts w:ascii="Times New Roman" w:hAnsi="Times New Roman" w:cs="Times New Roman"/>
        </w:rPr>
        <w:t>Free Cash Flow indicates liquidity strength, while Piotroski Score measures overall financial stability.</w:t>
      </w:r>
    </w:p>
    <w:p w14:paraId="7933C9DF" w14:textId="77777777" w:rsidR="003E0533" w:rsidRPr="003E0533" w:rsidRDefault="003E0533" w:rsidP="003E0533">
      <w:pPr>
        <w:numPr>
          <w:ilvl w:val="0"/>
          <w:numId w:val="4"/>
        </w:numPr>
        <w:rPr>
          <w:rFonts w:ascii="Times New Roman" w:hAnsi="Times New Roman" w:cs="Times New Roman"/>
        </w:rPr>
      </w:pPr>
      <w:r w:rsidRPr="003E0533">
        <w:rPr>
          <w:rFonts w:ascii="Times New Roman" w:hAnsi="Times New Roman" w:cs="Times New Roman"/>
        </w:rPr>
        <w:t>Growth metrics (</w:t>
      </w:r>
      <w:r w:rsidRPr="003E0533">
        <w:rPr>
          <w:rFonts w:ascii="Times New Roman" w:hAnsi="Times New Roman" w:cs="Times New Roman"/>
          <w:b/>
          <w:bCs/>
        </w:rPr>
        <w:t>EPS growth</w:t>
      </w:r>
      <w:r w:rsidRPr="003E0533">
        <w:rPr>
          <w:rFonts w:ascii="Times New Roman" w:hAnsi="Times New Roman" w:cs="Times New Roman"/>
        </w:rPr>
        <w:t>) capture expansion potential, while Dividend Yield reflects shareholder income.</w:t>
      </w:r>
    </w:p>
    <w:p w14:paraId="52D45F94" w14:textId="77777777" w:rsidR="003E0533" w:rsidRPr="003E0533" w:rsidRDefault="003E0533" w:rsidP="003E0533">
      <w:pPr>
        <w:numPr>
          <w:ilvl w:val="0"/>
          <w:numId w:val="4"/>
        </w:numPr>
        <w:rPr>
          <w:rFonts w:ascii="Times New Roman" w:hAnsi="Times New Roman" w:cs="Times New Roman"/>
        </w:rPr>
      </w:pPr>
      <w:r w:rsidRPr="003E0533">
        <w:rPr>
          <w:rFonts w:ascii="Times New Roman" w:hAnsi="Times New Roman" w:cs="Times New Roman"/>
        </w:rPr>
        <w:t>Debt/Equity ratio assesses leverage and associated risks.</w:t>
      </w:r>
    </w:p>
    <w:p w14:paraId="4BE8821D" w14:textId="77777777" w:rsidR="00426436" w:rsidRDefault="00426436" w:rsidP="003E0533">
      <w:pPr>
        <w:rPr>
          <w:rFonts w:ascii="Times New Roman" w:hAnsi="Times New Roman" w:cs="Times New Roman"/>
          <w:b/>
          <w:bCs/>
        </w:rPr>
      </w:pPr>
    </w:p>
    <w:p w14:paraId="38639C70" w14:textId="28331CE7" w:rsidR="003E0533" w:rsidRPr="00BF0C80" w:rsidRDefault="003E0533" w:rsidP="003E0533">
      <w:pPr>
        <w:rPr>
          <w:rFonts w:ascii="Times New Roman" w:hAnsi="Times New Roman" w:cs="Times New Roman"/>
          <w:b/>
          <w:bCs/>
          <w:sz w:val="28"/>
          <w:szCs w:val="28"/>
        </w:rPr>
      </w:pPr>
      <w:r w:rsidRPr="00BF0C80">
        <w:rPr>
          <w:rFonts w:ascii="Times New Roman" w:hAnsi="Times New Roman" w:cs="Times New Roman"/>
          <w:b/>
          <w:bCs/>
          <w:sz w:val="28"/>
          <w:szCs w:val="28"/>
        </w:rPr>
        <w:t>4. Clustering Analysis</w:t>
      </w:r>
    </w:p>
    <w:p w14:paraId="60754F33" w14:textId="77777777" w:rsidR="003E0533" w:rsidRPr="003E0533" w:rsidRDefault="003E0533" w:rsidP="003E0533">
      <w:pPr>
        <w:rPr>
          <w:rFonts w:ascii="Times New Roman" w:hAnsi="Times New Roman" w:cs="Times New Roman"/>
          <w:b/>
          <w:bCs/>
        </w:rPr>
      </w:pPr>
      <w:r w:rsidRPr="003E0533">
        <w:rPr>
          <w:rFonts w:ascii="Times New Roman" w:hAnsi="Times New Roman" w:cs="Times New Roman"/>
          <w:b/>
          <w:bCs/>
        </w:rPr>
        <w:t>Methodology</w:t>
      </w:r>
    </w:p>
    <w:p w14:paraId="0F6C418E" w14:textId="77777777" w:rsidR="003E0533" w:rsidRPr="003E0533" w:rsidRDefault="003E0533" w:rsidP="003E0533">
      <w:pPr>
        <w:numPr>
          <w:ilvl w:val="0"/>
          <w:numId w:val="5"/>
        </w:numPr>
        <w:rPr>
          <w:rFonts w:ascii="Times New Roman" w:hAnsi="Times New Roman" w:cs="Times New Roman"/>
        </w:rPr>
      </w:pPr>
      <w:r w:rsidRPr="003E0533">
        <w:rPr>
          <w:rFonts w:ascii="Times New Roman" w:hAnsi="Times New Roman" w:cs="Times New Roman"/>
        </w:rPr>
        <w:t>Standardized the selected features to ensure equal influence during clustering.</w:t>
      </w:r>
    </w:p>
    <w:p w14:paraId="471B98E3" w14:textId="77777777" w:rsidR="003E0533" w:rsidRPr="003E0533" w:rsidRDefault="003E0533" w:rsidP="003E0533">
      <w:pPr>
        <w:numPr>
          <w:ilvl w:val="0"/>
          <w:numId w:val="5"/>
        </w:numPr>
        <w:rPr>
          <w:rFonts w:ascii="Times New Roman" w:hAnsi="Times New Roman" w:cs="Times New Roman"/>
        </w:rPr>
      </w:pPr>
      <w:r w:rsidRPr="003E0533">
        <w:rPr>
          <w:rFonts w:ascii="Times New Roman" w:hAnsi="Times New Roman" w:cs="Times New Roman"/>
        </w:rPr>
        <w:t>Applied k-means clustering to group stocks into clusters based on their financial characteristics.</w:t>
      </w:r>
    </w:p>
    <w:p w14:paraId="08C50E11" w14:textId="1A464054" w:rsidR="003E0533" w:rsidRPr="0017177E" w:rsidRDefault="003E0533" w:rsidP="003E0533">
      <w:pPr>
        <w:numPr>
          <w:ilvl w:val="0"/>
          <w:numId w:val="5"/>
        </w:numPr>
        <w:rPr>
          <w:rFonts w:ascii="Times New Roman" w:hAnsi="Times New Roman" w:cs="Times New Roman"/>
        </w:rPr>
      </w:pPr>
      <w:r w:rsidRPr="003E0533">
        <w:rPr>
          <w:rFonts w:ascii="Times New Roman" w:hAnsi="Times New Roman" w:cs="Times New Roman"/>
        </w:rPr>
        <w:t xml:space="preserve">Determined the optimal number of clusters using the elbow method, which identified </w:t>
      </w:r>
      <w:r w:rsidR="00867915" w:rsidRPr="0017177E">
        <w:rPr>
          <w:rFonts w:ascii="Times New Roman" w:hAnsi="Times New Roman" w:cs="Times New Roman"/>
        </w:rPr>
        <w:t xml:space="preserve">six </w:t>
      </w:r>
      <w:r w:rsidRPr="003E0533">
        <w:rPr>
          <w:rFonts w:ascii="Times New Roman" w:hAnsi="Times New Roman" w:cs="Times New Roman"/>
        </w:rPr>
        <w:t>clusters as optimal.</w:t>
      </w:r>
    </w:p>
    <w:p w14:paraId="42FF8B0A" w14:textId="5363895F" w:rsidR="009A48E4" w:rsidRPr="009A48E4" w:rsidRDefault="00867915" w:rsidP="00867915">
      <w:pPr>
        <w:numPr>
          <w:ilvl w:val="0"/>
          <w:numId w:val="5"/>
        </w:numPr>
        <w:rPr>
          <w:rFonts w:ascii="Times New Roman" w:hAnsi="Times New Roman" w:cs="Times New Roman"/>
        </w:rPr>
      </w:pPr>
      <w:r w:rsidRPr="0017177E">
        <w:rPr>
          <w:rFonts w:ascii="Times New Roman" w:hAnsi="Times New Roman" w:cs="Times New Roman"/>
        </w:rPr>
        <w:lastRenderedPageBreak/>
        <w:t>Also used silhouette score to confirm the optimal number of clusters and chosen the method with the highest no. of clusters, for diverse view.</w:t>
      </w:r>
    </w:p>
    <w:p w14:paraId="1F993858" w14:textId="5C625263" w:rsidR="00867915" w:rsidRPr="00867915" w:rsidRDefault="00867915" w:rsidP="00867915">
      <w:pPr>
        <w:rPr>
          <w:rFonts w:ascii="Times New Roman" w:hAnsi="Times New Roman" w:cs="Times New Roman"/>
          <w:b/>
          <w:bCs/>
        </w:rPr>
      </w:pPr>
      <w:r w:rsidRPr="00867915">
        <w:rPr>
          <w:rFonts w:ascii="Times New Roman" w:hAnsi="Times New Roman" w:cs="Times New Roman"/>
          <w:b/>
          <w:bCs/>
        </w:rPr>
        <w:t>Cluster Characteristics &amp; Interpretation:</w:t>
      </w:r>
    </w:p>
    <w:p w14:paraId="54135A8A" w14:textId="77777777" w:rsidR="00867915" w:rsidRPr="0053026C" w:rsidRDefault="00867915" w:rsidP="00867915">
      <w:pPr>
        <w:rPr>
          <w:rFonts w:ascii="Times New Roman" w:hAnsi="Times New Roman" w:cs="Times New Roman"/>
          <w:b/>
          <w:bCs/>
          <w:color w:val="000000" w:themeColor="text1"/>
        </w:rPr>
      </w:pPr>
      <w:r w:rsidRPr="0053026C">
        <w:rPr>
          <w:rFonts w:ascii="Times New Roman" w:hAnsi="Times New Roman" w:cs="Times New Roman"/>
          <w:b/>
          <w:bCs/>
          <w:color w:val="000000" w:themeColor="text1"/>
        </w:rPr>
        <w:t>Cluster 0 (26 stocks, dominated by Bandhan Bank)</w:t>
      </w:r>
    </w:p>
    <w:p w14:paraId="0585406B" w14:textId="77777777" w:rsidR="00867915" w:rsidRPr="00867915" w:rsidRDefault="00867915" w:rsidP="00867915">
      <w:pPr>
        <w:numPr>
          <w:ilvl w:val="0"/>
          <w:numId w:val="12"/>
        </w:numPr>
        <w:rPr>
          <w:rFonts w:ascii="Times New Roman" w:hAnsi="Times New Roman" w:cs="Times New Roman"/>
        </w:rPr>
      </w:pPr>
      <w:r w:rsidRPr="00867915">
        <w:rPr>
          <w:rFonts w:ascii="Times New Roman" w:hAnsi="Times New Roman" w:cs="Times New Roman"/>
        </w:rPr>
        <w:t>High ROE (23.6%) and ROCE (21.9%) indicate efficient capital use.</w:t>
      </w:r>
    </w:p>
    <w:p w14:paraId="64050C01" w14:textId="77777777" w:rsidR="00867915" w:rsidRPr="00867915" w:rsidRDefault="00867915" w:rsidP="00867915">
      <w:pPr>
        <w:numPr>
          <w:ilvl w:val="0"/>
          <w:numId w:val="12"/>
        </w:numPr>
        <w:rPr>
          <w:rFonts w:ascii="Times New Roman" w:hAnsi="Times New Roman" w:cs="Times New Roman"/>
        </w:rPr>
      </w:pPr>
      <w:r w:rsidRPr="00867915">
        <w:rPr>
          <w:rFonts w:ascii="Times New Roman" w:hAnsi="Times New Roman" w:cs="Times New Roman"/>
        </w:rPr>
        <w:t>Moderate OPM (28.8%) suggests decent profitability but not as high as some other clusters.</w:t>
      </w:r>
    </w:p>
    <w:p w14:paraId="30AA78FA" w14:textId="77777777" w:rsidR="00867915" w:rsidRPr="00867915" w:rsidRDefault="00867915" w:rsidP="00867915">
      <w:pPr>
        <w:numPr>
          <w:ilvl w:val="0"/>
          <w:numId w:val="12"/>
        </w:numPr>
        <w:rPr>
          <w:rFonts w:ascii="Times New Roman" w:hAnsi="Times New Roman" w:cs="Times New Roman"/>
        </w:rPr>
      </w:pPr>
      <w:r w:rsidRPr="00867915">
        <w:rPr>
          <w:rFonts w:ascii="Times New Roman" w:hAnsi="Times New Roman" w:cs="Times New Roman"/>
        </w:rPr>
        <w:t>Exceptionally high Free Cash Flow (₹23,646 Cr) signals strong cash generation.</w:t>
      </w:r>
    </w:p>
    <w:p w14:paraId="16EFD6E7" w14:textId="1E0D68E4" w:rsidR="00867915" w:rsidRPr="00867915" w:rsidRDefault="00867915" w:rsidP="00867915">
      <w:pPr>
        <w:numPr>
          <w:ilvl w:val="0"/>
          <w:numId w:val="12"/>
        </w:numPr>
        <w:rPr>
          <w:rFonts w:ascii="Times New Roman" w:hAnsi="Times New Roman" w:cs="Times New Roman"/>
        </w:rPr>
      </w:pPr>
      <w:r w:rsidRPr="00867915">
        <w:rPr>
          <w:rFonts w:ascii="Times New Roman" w:hAnsi="Times New Roman" w:cs="Times New Roman"/>
        </w:rPr>
        <w:t xml:space="preserve">Healthy </w:t>
      </w:r>
      <w:r w:rsidR="007C60BA" w:rsidRPr="0017177E">
        <w:rPr>
          <w:rFonts w:ascii="Times New Roman" w:hAnsi="Times New Roman" w:cs="Times New Roman"/>
        </w:rPr>
        <w:t>Piotroski</w:t>
      </w:r>
      <w:r w:rsidRPr="00867915">
        <w:rPr>
          <w:rFonts w:ascii="Times New Roman" w:hAnsi="Times New Roman" w:cs="Times New Roman"/>
        </w:rPr>
        <w:t xml:space="preserve"> Score (6.57) indicates financial strength.</w:t>
      </w:r>
    </w:p>
    <w:p w14:paraId="0A142BB8" w14:textId="77777777" w:rsidR="00867915" w:rsidRPr="00867915" w:rsidRDefault="00867915" w:rsidP="00867915">
      <w:pPr>
        <w:numPr>
          <w:ilvl w:val="0"/>
          <w:numId w:val="12"/>
        </w:numPr>
        <w:rPr>
          <w:rFonts w:ascii="Times New Roman" w:hAnsi="Times New Roman" w:cs="Times New Roman"/>
        </w:rPr>
      </w:pPr>
      <w:r w:rsidRPr="00867915">
        <w:rPr>
          <w:rFonts w:ascii="Times New Roman" w:hAnsi="Times New Roman" w:cs="Times New Roman"/>
        </w:rPr>
        <w:t>EPS growth (22.4%) is solid, with moderate dividend yield (2.4%).</w:t>
      </w:r>
    </w:p>
    <w:p w14:paraId="42DDF67A" w14:textId="77777777" w:rsidR="00867915" w:rsidRPr="00867915" w:rsidRDefault="00867915" w:rsidP="00867915">
      <w:pPr>
        <w:numPr>
          <w:ilvl w:val="0"/>
          <w:numId w:val="12"/>
        </w:numPr>
        <w:rPr>
          <w:rFonts w:ascii="Times New Roman" w:hAnsi="Times New Roman" w:cs="Times New Roman"/>
        </w:rPr>
      </w:pPr>
      <w:r w:rsidRPr="00867915">
        <w:rPr>
          <w:rFonts w:ascii="Times New Roman" w:hAnsi="Times New Roman" w:cs="Times New Roman"/>
        </w:rPr>
        <w:t>Debt-to-equity ratio (2.05) is relatively high.</w:t>
      </w:r>
    </w:p>
    <w:p w14:paraId="7F85DD37" w14:textId="16761528" w:rsidR="00867915" w:rsidRPr="00867915" w:rsidRDefault="00867915" w:rsidP="0053026C">
      <w:pPr>
        <w:spacing w:line="360" w:lineRule="auto"/>
        <w:rPr>
          <w:rFonts w:ascii="Times New Roman" w:hAnsi="Times New Roman" w:cs="Times New Roman"/>
        </w:rPr>
      </w:pPr>
      <w:r w:rsidRPr="00867915">
        <w:rPr>
          <w:rFonts w:ascii="Times New Roman" w:hAnsi="Times New Roman" w:cs="Times New Roman"/>
        </w:rPr>
        <w:t>This cluster likely represents a mix of high-growth and high-cash-generating firms, possibly a mix of financial and non-financial companies. The dominance of Bandhan Bank suggests that within this cluster</w:t>
      </w:r>
      <w:r w:rsidR="007C60BA" w:rsidRPr="0017177E">
        <w:rPr>
          <w:rFonts w:ascii="Times New Roman" w:hAnsi="Times New Roman" w:cs="Times New Roman"/>
        </w:rPr>
        <w:t xml:space="preserve"> </w:t>
      </w:r>
      <w:r w:rsidR="0017177E" w:rsidRPr="0017177E">
        <w:rPr>
          <w:rFonts w:ascii="Times New Roman" w:hAnsi="Times New Roman" w:cs="Times New Roman"/>
        </w:rPr>
        <w:t>Bandhan Bank might have the best balance of risk and return.</w:t>
      </w:r>
    </w:p>
    <w:p w14:paraId="4D8484A2" w14:textId="77777777" w:rsidR="00867915" w:rsidRPr="0053026C" w:rsidRDefault="00867915" w:rsidP="0053026C">
      <w:pPr>
        <w:spacing w:line="360" w:lineRule="auto"/>
        <w:rPr>
          <w:rFonts w:ascii="Times New Roman" w:hAnsi="Times New Roman" w:cs="Times New Roman"/>
          <w:b/>
          <w:bCs/>
          <w:color w:val="000000" w:themeColor="text1"/>
        </w:rPr>
      </w:pPr>
      <w:r w:rsidRPr="0053026C">
        <w:rPr>
          <w:rFonts w:ascii="Times New Roman" w:hAnsi="Times New Roman" w:cs="Times New Roman"/>
          <w:b/>
          <w:bCs/>
          <w:color w:val="000000" w:themeColor="text1"/>
        </w:rPr>
        <w:t>Cluster 1 (141 stocks, no single stock dominates completely)</w:t>
      </w:r>
    </w:p>
    <w:p w14:paraId="6FE12C37" w14:textId="77777777" w:rsidR="00867915" w:rsidRPr="00867915" w:rsidRDefault="00867915" w:rsidP="00867915">
      <w:pPr>
        <w:numPr>
          <w:ilvl w:val="0"/>
          <w:numId w:val="13"/>
        </w:numPr>
        <w:rPr>
          <w:rFonts w:ascii="Times New Roman" w:hAnsi="Times New Roman" w:cs="Times New Roman"/>
        </w:rPr>
      </w:pPr>
      <w:r w:rsidRPr="00867915">
        <w:rPr>
          <w:rFonts w:ascii="Times New Roman" w:hAnsi="Times New Roman" w:cs="Times New Roman"/>
        </w:rPr>
        <w:t>Moderate ROE (21.6%) and ROCE (20.75%) suggest good profitability.</w:t>
      </w:r>
    </w:p>
    <w:p w14:paraId="2C6A335E" w14:textId="77777777" w:rsidR="00867915" w:rsidRPr="00867915" w:rsidRDefault="00867915" w:rsidP="00867915">
      <w:pPr>
        <w:numPr>
          <w:ilvl w:val="0"/>
          <w:numId w:val="13"/>
        </w:numPr>
        <w:rPr>
          <w:rFonts w:ascii="Times New Roman" w:hAnsi="Times New Roman" w:cs="Times New Roman"/>
        </w:rPr>
      </w:pPr>
      <w:r w:rsidRPr="00867915">
        <w:rPr>
          <w:rFonts w:ascii="Times New Roman" w:hAnsi="Times New Roman" w:cs="Times New Roman"/>
        </w:rPr>
        <w:t>OPM (25.3%) is slightly lower than Cluster 0.</w:t>
      </w:r>
    </w:p>
    <w:p w14:paraId="01415A85" w14:textId="77777777" w:rsidR="00867915" w:rsidRPr="00867915" w:rsidRDefault="00867915" w:rsidP="00867915">
      <w:pPr>
        <w:numPr>
          <w:ilvl w:val="0"/>
          <w:numId w:val="13"/>
        </w:numPr>
        <w:rPr>
          <w:rFonts w:ascii="Times New Roman" w:hAnsi="Times New Roman" w:cs="Times New Roman"/>
        </w:rPr>
      </w:pPr>
      <w:r w:rsidRPr="00867915">
        <w:rPr>
          <w:rFonts w:ascii="Times New Roman" w:hAnsi="Times New Roman" w:cs="Times New Roman"/>
        </w:rPr>
        <w:t>Free Cash Flow is positive but significantly lower (₹1,961 Cr).</w:t>
      </w:r>
    </w:p>
    <w:p w14:paraId="433A4ABA" w14:textId="77777777" w:rsidR="00867915" w:rsidRPr="00867915" w:rsidRDefault="00867915" w:rsidP="00867915">
      <w:pPr>
        <w:numPr>
          <w:ilvl w:val="0"/>
          <w:numId w:val="13"/>
        </w:numPr>
        <w:rPr>
          <w:rFonts w:ascii="Times New Roman" w:hAnsi="Times New Roman" w:cs="Times New Roman"/>
        </w:rPr>
      </w:pPr>
      <w:r w:rsidRPr="00867915">
        <w:rPr>
          <w:rFonts w:ascii="Times New Roman" w:hAnsi="Times New Roman" w:cs="Times New Roman"/>
        </w:rPr>
        <w:t>Piotroski Score (6.40) is strong, indicating good financial health.</w:t>
      </w:r>
    </w:p>
    <w:p w14:paraId="2E519412" w14:textId="77777777" w:rsidR="00867915" w:rsidRPr="00867915" w:rsidRDefault="00867915" w:rsidP="00867915">
      <w:pPr>
        <w:numPr>
          <w:ilvl w:val="0"/>
          <w:numId w:val="13"/>
        </w:numPr>
        <w:rPr>
          <w:rFonts w:ascii="Times New Roman" w:hAnsi="Times New Roman" w:cs="Times New Roman"/>
        </w:rPr>
      </w:pPr>
      <w:r w:rsidRPr="00867915">
        <w:rPr>
          <w:rFonts w:ascii="Times New Roman" w:hAnsi="Times New Roman" w:cs="Times New Roman"/>
        </w:rPr>
        <w:t>EPS growth (22.68%) is high, but Dividend Yield (0.97%) is lower.</w:t>
      </w:r>
    </w:p>
    <w:p w14:paraId="0AAA34F5" w14:textId="77777777" w:rsidR="00867915" w:rsidRPr="00867915" w:rsidRDefault="00867915" w:rsidP="00867915">
      <w:pPr>
        <w:numPr>
          <w:ilvl w:val="0"/>
          <w:numId w:val="13"/>
        </w:numPr>
        <w:rPr>
          <w:rFonts w:ascii="Times New Roman" w:hAnsi="Times New Roman" w:cs="Times New Roman"/>
        </w:rPr>
      </w:pPr>
      <w:r w:rsidRPr="00867915">
        <w:rPr>
          <w:rFonts w:ascii="Times New Roman" w:hAnsi="Times New Roman" w:cs="Times New Roman"/>
        </w:rPr>
        <w:t>Low Debt-to-Equity ratio (1.20) indicates lower financial leverage.</w:t>
      </w:r>
    </w:p>
    <w:p w14:paraId="2798E20E" w14:textId="5FD6B240" w:rsidR="00867915" w:rsidRPr="00867915" w:rsidRDefault="00867915" w:rsidP="00867915">
      <w:pPr>
        <w:rPr>
          <w:rFonts w:ascii="Times New Roman" w:hAnsi="Times New Roman" w:cs="Times New Roman"/>
        </w:rPr>
      </w:pPr>
      <w:r w:rsidRPr="00867915">
        <w:rPr>
          <w:rFonts w:ascii="Times New Roman" w:hAnsi="Times New Roman" w:cs="Times New Roman"/>
        </w:rPr>
        <w:t>This is likely a broadly diversified cluster of stable, well-performing stocks with moderate growth potential and strong financial health. Since it has 141 stocks, it may contain a mix of sectors, including both growth and value stocks.</w:t>
      </w:r>
    </w:p>
    <w:p w14:paraId="2F24EB49" w14:textId="77777777" w:rsidR="00867915" w:rsidRPr="0053026C" w:rsidRDefault="00867915" w:rsidP="00867915">
      <w:pPr>
        <w:rPr>
          <w:rFonts w:ascii="Times New Roman" w:hAnsi="Times New Roman" w:cs="Times New Roman"/>
          <w:b/>
          <w:bCs/>
          <w:color w:val="000000" w:themeColor="text1"/>
        </w:rPr>
      </w:pPr>
      <w:r w:rsidRPr="0053026C">
        <w:rPr>
          <w:rFonts w:ascii="Times New Roman" w:hAnsi="Times New Roman" w:cs="Times New Roman"/>
          <w:b/>
          <w:bCs/>
          <w:color w:val="000000" w:themeColor="text1"/>
        </w:rPr>
        <w:t>Cluster 2 (4 stocks, dominated by Bajaj Finance)</w:t>
      </w:r>
    </w:p>
    <w:p w14:paraId="36630BD6" w14:textId="77777777" w:rsidR="00867915" w:rsidRPr="00867915" w:rsidRDefault="00867915" w:rsidP="00867915">
      <w:pPr>
        <w:numPr>
          <w:ilvl w:val="0"/>
          <w:numId w:val="14"/>
        </w:numPr>
        <w:rPr>
          <w:rFonts w:ascii="Times New Roman" w:hAnsi="Times New Roman" w:cs="Times New Roman"/>
        </w:rPr>
      </w:pPr>
      <w:r w:rsidRPr="00867915">
        <w:rPr>
          <w:rFonts w:ascii="Times New Roman" w:hAnsi="Times New Roman" w:cs="Times New Roman"/>
        </w:rPr>
        <w:t>Moderate ROE (20.2%) and very low ROCE (10.88%) indicate that capital efficiency is low relative to other clusters.</w:t>
      </w:r>
    </w:p>
    <w:p w14:paraId="10C9F30D" w14:textId="77777777" w:rsidR="00867915" w:rsidRPr="00867915" w:rsidRDefault="00867915" w:rsidP="00867915">
      <w:pPr>
        <w:numPr>
          <w:ilvl w:val="0"/>
          <w:numId w:val="14"/>
        </w:numPr>
        <w:rPr>
          <w:rFonts w:ascii="Times New Roman" w:hAnsi="Times New Roman" w:cs="Times New Roman"/>
        </w:rPr>
      </w:pPr>
      <w:r w:rsidRPr="00867915">
        <w:rPr>
          <w:rFonts w:ascii="Times New Roman" w:hAnsi="Times New Roman" w:cs="Times New Roman"/>
        </w:rPr>
        <w:t>Exceptionally high OPM (76.02%) suggests the presence of firms with strong pricing power.</w:t>
      </w:r>
    </w:p>
    <w:p w14:paraId="2E7DF930" w14:textId="77777777" w:rsidR="00867915" w:rsidRPr="00867915" w:rsidRDefault="00867915" w:rsidP="00867915">
      <w:pPr>
        <w:numPr>
          <w:ilvl w:val="0"/>
          <w:numId w:val="14"/>
        </w:numPr>
        <w:rPr>
          <w:rFonts w:ascii="Times New Roman" w:hAnsi="Times New Roman" w:cs="Times New Roman"/>
        </w:rPr>
      </w:pPr>
      <w:r w:rsidRPr="00867915">
        <w:rPr>
          <w:rFonts w:ascii="Times New Roman" w:hAnsi="Times New Roman" w:cs="Times New Roman"/>
        </w:rPr>
        <w:t>Very large negative Free Cash Flow (₹-74,911 Cr) suggests aggressive expansion.</w:t>
      </w:r>
    </w:p>
    <w:p w14:paraId="31CD7A82" w14:textId="77777777" w:rsidR="00867915" w:rsidRPr="00867915" w:rsidRDefault="00867915" w:rsidP="00867915">
      <w:pPr>
        <w:numPr>
          <w:ilvl w:val="0"/>
          <w:numId w:val="14"/>
        </w:numPr>
        <w:rPr>
          <w:rFonts w:ascii="Times New Roman" w:hAnsi="Times New Roman" w:cs="Times New Roman"/>
        </w:rPr>
      </w:pPr>
      <w:r w:rsidRPr="00867915">
        <w:rPr>
          <w:rFonts w:ascii="Times New Roman" w:hAnsi="Times New Roman" w:cs="Times New Roman"/>
        </w:rPr>
        <w:t>Moderate Piotroski Score (5.25).</w:t>
      </w:r>
    </w:p>
    <w:p w14:paraId="32E19F6D" w14:textId="77777777" w:rsidR="00867915" w:rsidRPr="00867915" w:rsidRDefault="00867915" w:rsidP="00867915">
      <w:pPr>
        <w:numPr>
          <w:ilvl w:val="0"/>
          <w:numId w:val="14"/>
        </w:numPr>
        <w:rPr>
          <w:rFonts w:ascii="Times New Roman" w:hAnsi="Times New Roman" w:cs="Times New Roman"/>
        </w:rPr>
      </w:pPr>
      <w:r w:rsidRPr="00867915">
        <w:rPr>
          <w:rFonts w:ascii="Times New Roman" w:hAnsi="Times New Roman" w:cs="Times New Roman"/>
        </w:rPr>
        <w:lastRenderedPageBreak/>
        <w:t>EPS Growth (26.7%) is one of the highest, but Dividend Yield (1.98%) is moderate.</w:t>
      </w:r>
    </w:p>
    <w:p w14:paraId="14ADD60B" w14:textId="77777777" w:rsidR="00867915" w:rsidRPr="00867915" w:rsidRDefault="00867915" w:rsidP="00867915">
      <w:pPr>
        <w:numPr>
          <w:ilvl w:val="0"/>
          <w:numId w:val="14"/>
        </w:numPr>
        <w:rPr>
          <w:rFonts w:ascii="Times New Roman" w:hAnsi="Times New Roman" w:cs="Times New Roman"/>
        </w:rPr>
      </w:pPr>
      <w:r w:rsidRPr="00867915">
        <w:rPr>
          <w:rFonts w:ascii="Times New Roman" w:hAnsi="Times New Roman" w:cs="Times New Roman"/>
        </w:rPr>
        <w:t>High Debt-to-Equity ratio (5.81) suggests heavy leverage.</w:t>
      </w:r>
    </w:p>
    <w:p w14:paraId="4DB5D240" w14:textId="05550367" w:rsidR="00867915" w:rsidRPr="00867915" w:rsidRDefault="00867915" w:rsidP="00867915">
      <w:pPr>
        <w:rPr>
          <w:rFonts w:ascii="Times New Roman" w:hAnsi="Times New Roman" w:cs="Times New Roman"/>
        </w:rPr>
      </w:pPr>
      <w:r w:rsidRPr="00867915">
        <w:rPr>
          <w:rFonts w:ascii="Times New Roman" w:hAnsi="Times New Roman" w:cs="Times New Roman"/>
        </w:rPr>
        <w:t>Likely a cluster of high-growth, highly leveraged companies, possibly in financial services or capital-intensive sectors. The dominance of Bajaj Finance</w:t>
      </w:r>
      <w:r w:rsidR="0017177E" w:rsidRPr="0017177E">
        <w:rPr>
          <w:rFonts w:ascii="Times New Roman" w:hAnsi="Times New Roman" w:cs="Times New Roman"/>
        </w:rPr>
        <w:t xml:space="preserve"> clearly indicates it might have the best balance of risk and return.</w:t>
      </w:r>
    </w:p>
    <w:p w14:paraId="534FBB17" w14:textId="77777777" w:rsidR="00867915" w:rsidRPr="0053026C" w:rsidRDefault="00867915" w:rsidP="00867915">
      <w:pPr>
        <w:rPr>
          <w:rFonts w:ascii="Times New Roman" w:hAnsi="Times New Roman" w:cs="Times New Roman"/>
          <w:b/>
          <w:bCs/>
          <w:color w:val="000000" w:themeColor="text1"/>
        </w:rPr>
      </w:pPr>
      <w:r w:rsidRPr="0053026C">
        <w:rPr>
          <w:rFonts w:ascii="Times New Roman" w:hAnsi="Times New Roman" w:cs="Times New Roman"/>
          <w:b/>
          <w:bCs/>
          <w:color w:val="000000" w:themeColor="text1"/>
        </w:rPr>
        <w:t>Cluster 3 (1 stock, ICICI Bank)</w:t>
      </w:r>
    </w:p>
    <w:p w14:paraId="34C93307" w14:textId="77777777" w:rsidR="00867915" w:rsidRPr="00867915" w:rsidRDefault="00867915" w:rsidP="00867915">
      <w:pPr>
        <w:numPr>
          <w:ilvl w:val="0"/>
          <w:numId w:val="15"/>
        </w:numPr>
        <w:rPr>
          <w:rFonts w:ascii="Times New Roman" w:hAnsi="Times New Roman" w:cs="Times New Roman"/>
        </w:rPr>
      </w:pPr>
      <w:r w:rsidRPr="00867915">
        <w:rPr>
          <w:rFonts w:ascii="Times New Roman" w:hAnsi="Times New Roman" w:cs="Times New Roman"/>
        </w:rPr>
        <w:t>ROE (18.8%) and ROCE (7.6%) are relatively lower than other clusters.</w:t>
      </w:r>
    </w:p>
    <w:p w14:paraId="25B76CEF" w14:textId="77777777" w:rsidR="00867915" w:rsidRPr="00867915" w:rsidRDefault="00867915" w:rsidP="00867915">
      <w:pPr>
        <w:numPr>
          <w:ilvl w:val="0"/>
          <w:numId w:val="15"/>
        </w:numPr>
        <w:rPr>
          <w:rFonts w:ascii="Times New Roman" w:hAnsi="Times New Roman" w:cs="Times New Roman"/>
        </w:rPr>
      </w:pPr>
      <w:r w:rsidRPr="00867915">
        <w:rPr>
          <w:rFonts w:ascii="Times New Roman" w:hAnsi="Times New Roman" w:cs="Times New Roman"/>
        </w:rPr>
        <w:t>Moderate OPM (30.3%).</w:t>
      </w:r>
    </w:p>
    <w:p w14:paraId="08DADB0E" w14:textId="77777777" w:rsidR="00867915" w:rsidRPr="00867915" w:rsidRDefault="00867915" w:rsidP="00867915">
      <w:pPr>
        <w:numPr>
          <w:ilvl w:val="0"/>
          <w:numId w:val="15"/>
        </w:numPr>
        <w:rPr>
          <w:rFonts w:ascii="Times New Roman" w:hAnsi="Times New Roman" w:cs="Times New Roman"/>
        </w:rPr>
      </w:pPr>
      <w:r w:rsidRPr="00867915">
        <w:rPr>
          <w:rFonts w:ascii="Times New Roman" w:hAnsi="Times New Roman" w:cs="Times New Roman"/>
        </w:rPr>
        <w:t>Free Cash Flow (₹1,53,675 Cr) is extremely high.</w:t>
      </w:r>
    </w:p>
    <w:p w14:paraId="4F124D79" w14:textId="77777777" w:rsidR="00867915" w:rsidRPr="00867915" w:rsidRDefault="00867915" w:rsidP="00867915">
      <w:pPr>
        <w:numPr>
          <w:ilvl w:val="0"/>
          <w:numId w:val="15"/>
        </w:numPr>
        <w:rPr>
          <w:rFonts w:ascii="Times New Roman" w:hAnsi="Times New Roman" w:cs="Times New Roman"/>
        </w:rPr>
      </w:pPr>
      <w:r w:rsidRPr="00867915">
        <w:rPr>
          <w:rFonts w:ascii="Times New Roman" w:hAnsi="Times New Roman" w:cs="Times New Roman"/>
        </w:rPr>
        <w:t>Piotroski Score (6.0) is healthy.</w:t>
      </w:r>
    </w:p>
    <w:p w14:paraId="0C330D4D" w14:textId="77777777" w:rsidR="00867915" w:rsidRPr="00867915" w:rsidRDefault="00867915" w:rsidP="00867915">
      <w:pPr>
        <w:numPr>
          <w:ilvl w:val="0"/>
          <w:numId w:val="15"/>
        </w:numPr>
        <w:rPr>
          <w:rFonts w:ascii="Times New Roman" w:hAnsi="Times New Roman" w:cs="Times New Roman"/>
        </w:rPr>
      </w:pPr>
      <w:r w:rsidRPr="00867915">
        <w:rPr>
          <w:rFonts w:ascii="Times New Roman" w:hAnsi="Times New Roman" w:cs="Times New Roman"/>
        </w:rPr>
        <w:t>EPS Growth (57.02%) is the highest among clusters.</w:t>
      </w:r>
    </w:p>
    <w:p w14:paraId="1D91FD7E" w14:textId="77777777" w:rsidR="00867915" w:rsidRPr="00867915" w:rsidRDefault="00867915" w:rsidP="00867915">
      <w:pPr>
        <w:numPr>
          <w:ilvl w:val="0"/>
          <w:numId w:val="15"/>
        </w:numPr>
        <w:rPr>
          <w:rFonts w:ascii="Times New Roman" w:hAnsi="Times New Roman" w:cs="Times New Roman"/>
        </w:rPr>
      </w:pPr>
      <w:r w:rsidRPr="00867915">
        <w:rPr>
          <w:rFonts w:ascii="Times New Roman" w:hAnsi="Times New Roman" w:cs="Times New Roman"/>
        </w:rPr>
        <w:t>Very high Dividend Yield (8.0%).</w:t>
      </w:r>
    </w:p>
    <w:p w14:paraId="04B69F4C" w14:textId="77777777" w:rsidR="00867915" w:rsidRPr="00867915" w:rsidRDefault="00867915" w:rsidP="00867915">
      <w:pPr>
        <w:numPr>
          <w:ilvl w:val="0"/>
          <w:numId w:val="15"/>
        </w:numPr>
        <w:rPr>
          <w:rFonts w:ascii="Times New Roman" w:hAnsi="Times New Roman" w:cs="Times New Roman"/>
        </w:rPr>
      </w:pPr>
      <w:r w:rsidRPr="00867915">
        <w:rPr>
          <w:rFonts w:ascii="Times New Roman" w:hAnsi="Times New Roman" w:cs="Times New Roman"/>
        </w:rPr>
        <w:t>Debt-to-Equity ratio (6.45) is the highest, indicating a heavily leveraged business.</w:t>
      </w:r>
    </w:p>
    <w:p w14:paraId="2D5F56E8" w14:textId="0C47412D" w:rsidR="00867915" w:rsidRPr="00867915" w:rsidRDefault="00867915" w:rsidP="00867915">
      <w:pPr>
        <w:rPr>
          <w:rFonts w:ascii="Times New Roman" w:hAnsi="Times New Roman" w:cs="Times New Roman"/>
        </w:rPr>
      </w:pPr>
      <w:r w:rsidRPr="00867915">
        <w:rPr>
          <w:rFonts w:ascii="Times New Roman" w:hAnsi="Times New Roman" w:cs="Times New Roman"/>
        </w:rPr>
        <w:t>ICICI Bank alone forms this cluster, meaning its financial characteristics drive the cluster. The high leverage, strong cash flow, and high dividend yield suggest a financial institution with strong profitability and risk-adjusted returns.</w:t>
      </w:r>
    </w:p>
    <w:p w14:paraId="3D95DC6C" w14:textId="77777777" w:rsidR="00867915" w:rsidRPr="00867915" w:rsidRDefault="00867915" w:rsidP="00867915">
      <w:pPr>
        <w:rPr>
          <w:rFonts w:ascii="Times New Roman" w:hAnsi="Times New Roman" w:cs="Times New Roman"/>
          <w:b/>
          <w:bCs/>
          <w:color w:val="595959" w:themeColor="text1" w:themeTint="A6"/>
        </w:rPr>
      </w:pPr>
      <w:r w:rsidRPr="00426436">
        <w:rPr>
          <w:rFonts w:ascii="Times New Roman" w:hAnsi="Times New Roman" w:cs="Times New Roman"/>
          <w:b/>
          <w:bCs/>
          <w:color w:val="000000" w:themeColor="text1"/>
        </w:rPr>
        <w:t>Cluster 4 (7 stocks, dominated by M&amp;M Finance)</w:t>
      </w:r>
    </w:p>
    <w:p w14:paraId="3935E26B" w14:textId="77777777" w:rsidR="00867915" w:rsidRPr="00867915" w:rsidRDefault="00867915" w:rsidP="00867915">
      <w:pPr>
        <w:numPr>
          <w:ilvl w:val="0"/>
          <w:numId w:val="16"/>
        </w:numPr>
        <w:rPr>
          <w:rFonts w:ascii="Times New Roman" w:hAnsi="Times New Roman" w:cs="Times New Roman"/>
        </w:rPr>
      </w:pPr>
      <w:r w:rsidRPr="00867915">
        <w:rPr>
          <w:rFonts w:ascii="Times New Roman" w:hAnsi="Times New Roman" w:cs="Times New Roman"/>
        </w:rPr>
        <w:t>ROE (11.45%) and ROCE (11.46%) are the lowest among clusters, suggesting weaker capital efficiency.</w:t>
      </w:r>
    </w:p>
    <w:p w14:paraId="633BEBC6" w14:textId="77777777" w:rsidR="00867915" w:rsidRPr="00867915" w:rsidRDefault="00867915" w:rsidP="00867915">
      <w:pPr>
        <w:numPr>
          <w:ilvl w:val="0"/>
          <w:numId w:val="16"/>
        </w:numPr>
        <w:rPr>
          <w:rFonts w:ascii="Times New Roman" w:hAnsi="Times New Roman" w:cs="Times New Roman"/>
        </w:rPr>
      </w:pPr>
      <w:r w:rsidRPr="00867915">
        <w:rPr>
          <w:rFonts w:ascii="Times New Roman" w:hAnsi="Times New Roman" w:cs="Times New Roman"/>
        </w:rPr>
        <w:t>OPM (40.72%) is decent.</w:t>
      </w:r>
    </w:p>
    <w:p w14:paraId="0CD10105" w14:textId="77777777" w:rsidR="00867915" w:rsidRPr="00867915" w:rsidRDefault="00867915" w:rsidP="00867915">
      <w:pPr>
        <w:numPr>
          <w:ilvl w:val="0"/>
          <w:numId w:val="16"/>
        </w:numPr>
        <w:rPr>
          <w:rFonts w:ascii="Times New Roman" w:hAnsi="Times New Roman" w:cs="Times New Roman"/>
        </w:rPr>
      </w:pPr>
      <w:r w:rsidRPr="00867915">
        <w:rPr>
          <w:rFonts w:ascii="Times New Roman" w:hAnsi="Times New Roman" w:cs="Times New Roman"/>
        </w:rPr>
        <w:t>Large negative Free Cash Flow (₹-26,847 Cr) suggests capital-intensive businesses.</w:t>
      </w:r>
    </w:p>
    <w:p w14:paraId="4920DA7B" w14:textId="77777777" w:rsidR="00867915" w:rsidRPr="00867915" w:rsidRDefault="00867915" w:rsidP="00867915">
      <w:pPr>
        <w:numPr>
          <w:ilvl w:val="0"/>
          <w:numId w:val="16"/>
        </w:numPr>
        <w:rPr>
          <w:rFonts w:ascii="Times New Roman" w:hAnsi="Times New Roman" w:cs="Times New Roman"/>
        </w:rPr>
      </w:pPr>
      <w:r w:rsidRPr="00867915">
        <w:rPr>
          <w:rFonts w:ascii="Times New Roman" w:hAnsi="Times New Roman" w:cs="Times New Roman"/>
        </w:rPr>
        <w:t>Piotroski Score (3.85) is the lowest, indicating weaker financial strength.</w:t>
      </w:r>
    </w:p>
    <w:p w14:paraId="0C6A8D55" w14:textId="77777777" w:rsidR="00867915" w:rsidRPr="00867915" w:rsidRDefault="00867915" w:rsidP="00867915">
      <w:pPr>
        <w:numPr>
          <w:ilvl w:val="0"/>
          <w:numId w:val="16"/>
        </w:numPr>
        <w:rPr>
          <w:rFonts w:ascii="Times New Roman" w:hAnsi="Times New Roman" w:cs="Times New Roman"/>
        </w:rPr>
      </w:pPr>
      <w:r w:rsidRPr="00867915">
        <w:rPr>
          <w:rFonts w:ascii="Times New Roman" w:hAnsi="Times New Roman" w:cs="Times New Roman"/>
        </w:rPr>
        <w:t>EPS Growth (7.18%) is the lowest, meaning slower growth.</w:t>
      </w:r>
    </w:p>
    <w:p w14:paraId="6EBCB7E3" w14:textId="77777777" w:rsidR="00867915" w:rsidRPr="00867915" w:rsidRDefault="00867915" w:rsidP="00867915">
      <w:pPr>
        <w:numPr>
          <w:ilvl w:val="0"/>
          <w:numId w:val="16"/>
        </w:numPr>
        <w:rPr>
          <w:rFonts w:ascii="Times New Roman" w:hAnsi="Times New Roman" w:cs="Times New Roman"/>
        </w:rPr>
      </w:pPr>
      <w:r w:rsidRPr="00867915">
        <w:rPr>
          <w:rFonts w:ascii="Times New Roman" w:hAnsi="Times New Roman" w:cs="Times New Roman"/>
        </w:rPr>
        <w:t>Dividend Yield (0.97%) is moderate.</w:t>
      </w:r>
    </w:p>
    <w:p w14:paraId="58E780A4" w14:textId="77777777" w:rsidR="00867915" w:rsidRPr="00867915" w:rsidRDefault="00867915" w:rsidP="00867915">
      <w:pPr>
        <w:numPr>
          <w:ilvl w:val="0"/>
          <w:numId w:val="16"/>
        </w:numPr>
        <w:rPr>
          <w:rFonts w:ascii="Times New Roman" w:hAnsi="Times New Roman" w:cs="Times New Roman"/>
        </w:rPr>
      </w:pPr>
      <w:r w:rsidRPr="00867915">
        <w:rPr>
          <w:rFonts w:ascii="Times New Roman" w:hAnsi="Times New Roman" w:cs="Times New Roman"/>
        </w:rPr>
        <w:t>Debt-to-Equity ratio (3.49) is high.</w:t>
      </w:r>
    </w:p>
    <w:p w14:paraId="5847EE8B" w14:textId="779FA00D" w:rsidR="0017177E" w:rsidRPr="00867915" w:rsidRDefault="00867915" w:rsidP="0017177E">
      <w:pPr>
        <w:rPr>
          <w:rFonts w:ascii="Times New Roman" w:hAnsi="Times New Roman" w:cs="Times New Roman"/>
        </w:rPr>
      </w:pPr>
      <w:r w:rsidRPr="00867915">
        <w:rPr>
          <w:rFonts w:ascii="Times New Roman" w:hAnsi="Times New Roman" w:cs="Times New Roman"/>
        </w:rPr>
        <w:t xml:space="preserve">This cluster seems to consist of highly leveraged, slow-growing companies that might be in capital-intensive industries such as infrastructure, utilities, or finance. The dominance of M&amp;M Finance </w:t>
      </w:r>
      <w:r w:rsidR="0017177E" w:rsidRPr="0017177E">
        <w:rPr>
          <w:rFonts w:ascii="Times New Roman" w:hAnsi="Times New Roman" w:cs="Times New Roman"/>
        </w:rPr>
        <w:t>indicates it might have the best balance of risk and return.</w:t>
      </w:r>
    </w:p>
    <w:p w14:paraId="57416493" w14:textId="77777777" w:rsidR="00867915" w:rsidRPr="00426436" w:rsidRDefault="00867915" w:rsidP="00867915">
      <w:pPr>
        <w:rPr>
          <w:rFonts w:ascii="Times New Roman" w:hAnsi="Times New Roman" w:cs="Times New Roman"/>
          <w:b/>
          <w:bCs/>
          <w:color w:val="000000" w:themeColor="text1"/>
        </w:rPr>
      </w:pPr>
      <w:r w:rsidRPr="00426436">
        <w:rPr>
          <w:rFonts w:ascii="Times New Roman" w:hAnsi="Times New Roman" w:cs="Times New Roman"/>
          <w:b/>
          <w:bCs/>
          <w:color w:val="000000" w:themeColor="text1"/>
        </w:rPr>
        <w:t>Cluster 5 (19 stocks, no single dominant stock)</w:t>
      </w:r>
    </w:p>
    <w:p w14:paraId="02BC461B" w14:textId="77777777" w:rsidR="00867915" w:rsidRPr="00867915" w:rsidRDefault="00867915" w:rsidP="00867915">
      <w:pPr>
        <w:numPr>
          <w:ilvl w:val="0"/>
          <w:numId w:val="17"/>
        </w:numPr>
        <w:rPr>
          <w:rFonts w:ascii="Times New Roman" w:hAnsi="Times New Roman" w:cs="Times New Roman"/>
        </w:rPr>
      </w:pPr>
      <w:r w:rsidRPr="00867915">
        <w:rPr>
          <w:rFonts w:ascii="Times New Roman" w:hAnsi="Times New Roman" w:cs="Times New Roman"/>
        </w:rPr>
        <w:t>ROE (13.67%) and ROCE (8.86%) are on the lower side.</w:t>
      </w:r>
    </w:p>
    <w:p w14:paraId="0BDA201A" w14:textId="77777777" w:rsidR="00867915" w:rsidRPr="00867915" w:rsidRDefault="00867915" w:rsidP="00867915">
      <w:pPr>
        <w:numPr>
          <w:ilvl w:val="0"/>
          <w:numId w:val="17"/>
        </w:numPr>
        <w:rPr>
          <w:rFonts w:ascii="Times New Roman" w:hAnsi="Times New Roman" w:cs="Times New Roman"/>
        </w:rPr>
      </w:pPr>
      <w:r w:rsidRPr="00867915">
        <w:rPr>
          <w:rFonts w:ascii="Times New Roman" w:hAnsi="Times New Roman" w:cs="Times New Roman"/>
        </w:rPr>
        <w:t>OPM (52.27%) is relatively high.</w:t>
      </w:r>
    </w:p>
    <w:p w14:paraId="4A0E31F4" w14:textId="77777777" w:rsidR="00867915" w:rsidRPr="00867915" w:rsidRDefault="00867915" w:rsidP="00867915">
      <w:pPr>
        <w:numPr>
          <w:ilvl w:val="0"/>
          <w:numId w:val="17"/>
        </w:numPr>
        <w:rPr>
          <w:rFonts w:ascii="Times New Roman" w:hAnsi="Times New Roman" w:cs="Times New Roman"/>
        </w:rPr>
      </w:pPr>
      <w:r w:rsidRPr="00867915">
        <w:rPr>
          <w:rFonts w:ascii="Times New Roman" w:hAnsi="Times New Roman" w:cs="Times New Roman"/>
        </w:rPr>
        <w:lastRenderedPageBreak/>
        <w:t>Negative Free Cash Flow (₹-7,954 Cr) suggests capital-intensive operations.</w:t>
      </w:r>
    </w:p>
    <w:p w14:paraId="1D9F4A6E" w14:textId="77777777" w:rsidR="00867915" w:rsidRPr="00867915" w:rsidRDefault="00867915" w:rsidP="00867915">
      <w:pPr>
        <w:numPr>
          <w:ilvl w:val="0"/>
          <w:numId w:val="17"/>
        </w:numPr>
        <w:rPr>
          <w:rFonts w:ascii="Times New Roman" w:hAnsi="Times New Roman" w:cs="Times New Roman"/>
        </w:rPr>
      </w:pPr>
      <w:r w:rsidRPr="00867915">
        <w:rPr>
          <w:rFonts w:ascii="Times New Roman" w:hAnsi="Times New Roman" w:cs="Times New Roman"/>
        </w:rPr>
        <w:t>Piotroski Score (5.10) is moderate.</w:t>
      </w:r>
    </w:p>
    <w:p w14:paraId="02F71EA1" w14:textId="77777777" w:rsidR="00867915" w:rsidRPr="00867915" w:rsidRDefault="00867915" w:rsidP="00867915">
      <w:pPr>
        <w:numPr>
          <w:ilvl w:val="0"/>
          <w:numId w:val="17"/>
        </w:numPr>
        <w:rPr>
          <w:rFonts w:ascii="Times New Roman" w:hAnsi="Times New Roman" w:cs="Times New Roman"/>
        </w:rPr>
      </w:pPr>
      <w:r w:rsidRPr="00867915">
        <w:rPr>
          <w:rFonts w:ascii="Times New Roman" w:hAnsi="Times New Roman" w:cs="Times New Roman"/>
        </w:rPr>
        <w:t>EPS Growth (19.94%) is decent, and Dividend Yield (1.11%) is moderate.</w:t>
      </w:r>
    </w:p>
    <w:p w14:paraId="5D5EB099" w14:textId="77777777" w:rsidR="00867915" w:rsidRPr="00867915" w:rsidRDefault="00867915" w:rsidP="00867915">
      <w:pPr>
        <w:numPr>
          <w:ilvl w:val="0"/>
          <w:numId w:val="17"/>
        </w:numPr>
        <w:rPr>
          <w:rFonts w:ascii="Times New Roman" w:hAnsi="Times New Roman" w:cs="Times New Roman"/>
        </w:rPr>
      </w:pPr>
      <w:r w:rsidRPr="00867915">
        <w:rPr>
          <w:rFonts w:ascii="Times New Roman" w:hAnsi="Times New Roman" w:cs="Times New Roman"/>
        </w:rPr>
        <w:t>Debt-to-Equity ratio (4.58) is high.</w:t>
      </w:r>
    </w:p>
    <w:p w14:paraId="14A9BA93" w14:textId="052FEFB6" w:rsidR="00867915" w:rsidRPr="00867915" w:rsidRDefault="00867915" w:rsidP="00867915">
      <w:pPr>
        <w:rPr>
          <w:rFonts w:ascii="Times New Roman" w:hAnsi="Times New Roman" w:cs="Times New Roman"/>
        </w:rPr>
      </w:pPr>
      <w:r w:rsidRPr="00867915">
        <w:rPr>
          <w:rFonts w:ascii="Times New Roman" w:hAnsi="Times New Roman" w:cs="Times New Roman"/>
        </w:rPr>
        <w:t>This cluster represents moderate-growth, capital-intensive firms that have decent profitability but require significant capital investments. The presence of multiple stocks suggests diversification across different sectors.</w:t>
      </w:r>
    </w:p>
    <w:p w14:paraId="6C142460" w14:textId="77777777" w:rsidR="00867915" w:rsidRPr="00867915" w:rsidRDefault="00867915" w:rsidP="00867915">
      <w:pPr>
        <w:rPr>
          <w:rFonts w:ascii="Times New Roman" w:hAnsi="Times New Roman" w:cs="Times New Roman"/>
          <w:b/>
          <w:bCs/>
        </w:rPr>
      </w:pPr>
      <w:r w:rsidRPr="00867915">
        <w:rPr>
          <w:rFonts w:ascii="Times New Roman" w:hAnsi="Times New Roman" w:cs="Times New Roman"/>
          <w:b/>
          <w:bCs/>
        </w:rPr>
        <w:t>Final Insights:</w:t>
      </w:r>
    </w:p>
    <w:p w14:paraId="5BC455A8" w14:textId="77777777" w:rsidR="00867915" w:rsidRPr="00867915" w:rsidRDefault="00867915" w:rsidP="00867915">
      <w:pPr>
        <w:numPr>
          <w:ilvl w:val="0"/>
          <w:numId w:val="18"/>
        </w:numPr>
        <w:rPr>
          <w:rFonts w:ascii="Times New Roman" w:hAnsi="Times New Roman" w:cs="Times New Roman"/>
        </w:rPr>
      </w:pPr>
      <w:r w:rsidRPr="00867915">
        <w:rPr>
          <w:rFonts w:ascii="Times New Roman" w:hAnsi="Times New Roman" w:cs="Times New Roman"/>
        </w:rPr>
        <w:t>Clusters 0 and 1 contain a mix of high-quality growth and value stocks, with strong financials.</w:t>
      </w:r>
    </w:p>
    <w:p w14:paraId="161705B2" w14:textId="77777777" w:rsidR="00867915" w:rsidRPr="00867915" w:rsidRDefault="00867915" w:rsidP="00867915">
      <w:pPr>
        <w:numPr>
          <w:ilvl w:val="0"/>
          <w:numId w:val="18"/>
        </w:numPr>
        <w:rPr>
          <w:rFonts w:ascii="Times New Roman" w:hAnsi="Times New Roman" w:cs="Times New Roman"/>
        </w:rPr>
      </w:pPr>
      <w:r w:rsidRPr="00867915">
        <w:rPr>
          <w:rFonts w:ascii="Times New Roman" w:hAnsi="Times New Roman" w:cs="Times New Roman"/>
        </w:rPr>
        <w:t>Cluster 2 contains highly leveraged high-growth stocks, such as Bajaj Finance.</w:t>
      </w:r>
    </w:p>
    <w:p w14:paraId="0C423437" w14:textId="77777777" w:rsidR="00867915" w:rsidRPr="00867915" w:rsidRDefault="00867915" w:rsidP="00867915">
      <w:pPr>
        <w:numPr>
          <w:ilvl w:val="0"/>
          <w:numId w:val="18"/>
        </w:numPr>
        <w:rPr>
          <w:rFonts w:ascii="Times New Roman" w:hAnsi="Times New Roman" w:cs="Times New Roman"/>
        </w:rPr>
      </w:pPr>
      <w:r w:rsidRPr="00867915">
        <w:rPr>
          <w:rFonts w:ascii="Times New Roman" w:hAnsi="Times New Roman" w:cs="Times New Roman"/>
        </w:rPr>
        <w:t>Cluster 3 is purely ICICI Bank, emphasizing strong cash flow and high dividends.</w:t>
      </w:r>
    </w:p>
    <w:p w14:paraId="62D9DE72" w14:textId="77777777" w:rsidR="00867915" w:rsidRDefault="00867915" w:rsidP="00867915">
      <w:pPr>
        <w:numPr>
          <w:ilvl w:val="0"/>
          <w:numId w:val="18"/>
        </w:numPr>
        <w:rPr>
          <w:rFonts w:ascii="Times New Roman" w:hAnsi="Times New Roman" w:cs="Times New Roman"/>
        </w:rPr>
      </w:pPr>
      <w:r w:rsidRPr="00867915">
        <w:rPr>
          <w:rFonts w:ascii="Times New Roman" w:hAnsi="Times New Roman" w:cs="Times New Roman"/>
        </w:rPr>
        <w:t>Clusters 4 and 5 contain more capital-intensive, lower-growth firms, possibly infrastructure, NBFCs, or utilities.</w:t>
      </w:r>
    </w:p>
    <w:p w14:paraId="0ADF00EC" w14:textId="77777777" w:rsidR="00426436" w:rsidRDefault="00426436" w:rsidP="00DA6856">
      <w:pPr>
        <w:rPr>
          <w:rFonts w:ascii="Times New Roman" w:hAnsi="Times New Roman" w:cs="Times New Roman"/>
          <w:b/>
          <w:bCs/>
        </w:rPr>
      </w:pPr>
    </w:p>
    <w:p w14:paraId="6CF58B17" w14:textId="3AAFD5CC" w:rsidR="00DA6856" w:rsidRPr="00BF0C80" w:rsidRDefault="00DA6856" w:rsidP="00DA6856">
      <w:pPr>
        <w:rPr>
          <w:rFonts w:ascii="Times New Roman" w:hAnsi="Times New Roman" w:cs="Times New Roman"/>
          <w:b/>
          <w:bCs/>
          <w:sz w:val="28"/>
          <w:szCs w:val="28"/>
        </w:rPr>
      </w:pPr>
      <w:r w:rsidRPr="00BF0C80">
        <w:rPr>
          <w:rFonts w:ascii="Times New Roman" w:hAnsi="Times New Roman" w:cs="Times New Roman"/>
          <w:b/>
          <w:bCs/>
          <w:sz w:val="28"/>
          <w:szCs w:val="28"/>
        </w:rPr>
        <w:t>5.</w:t>
      </w:r>
      <w:r w:rsidR="00726011">
        <w:rPr>
          <w:rFonts w:ascii="Times New Roman" w:hAnsi="Times New Roman" w:cs="Times New Roman"/>
          <w:b/>
          <w:bCs/>
          <w:sz w:val="28"/>
          <w:szCs w:val="28"/>
        </w:rPr>
        <w:t xml:space="preserve"> </w:t>
      </w:r>
      <w:r w:rsidRPr="00BF0C80">
        <w:rPr>
          <w:rFonts w:ascii="Times New Roman" w:hAnsi="Times New Roman" w:cs="Times New Roman"/>
          <w:b/>
          <w:bCs/>
          <w:sz w:val="28"/>
          <w:szCs w:val="28"/>
        </w:rPr>
        <w:t>Performance Metrics</w:t>
      </w:r>
    </w:p>
    <w:p w14:paraId="3B568910" w14:textId="77777777" w:rsidR="003E0533" w:rsidRPr="003E0533" w:rsidRDefault="003E0533" w:rsidP="003E0533">
      <w:pPr>
        <w:rPr>
          <w:rFonts w:ascii="Times New Roman" w:hAnsi="Times New Roman" w:cs="Times New Roman"/>
          <w:b/>
          <w:bCs/>
        </w:rPr>
      </w:pPr>
      <w:r w:rsidRPr="003E0533">
        <w:rPr>
          <w:rFonts w:ascii="Times New Roman" w:hAnsi="Times New Roman" w:cs="Times New Roman"/>
          <w:b/>
          <w:bCs/>
        </w:rPr>
        <w:t>Methodology</w:t>
      </w:r>
    </w:p>
    <w:p w14:paraId="01D4F525" w14:textId="77777777" w:rsidR="003E0533" w:rsidRPr="003E0533" w:rsidRDefault="003E0533" w:rsidP="003E0533">
      <w:pPr>
        <w:rPr>
          <w:rFonts w:ascii="Times New Roman" w:hAnsi="Times New Roman" w:cs="Times New Roman"/>
        </w:rPr>
      </w:pPr>
      <w:r w:rsidRPr="003E0533">
        <w:rPr>
          <w:rFonts w:ascii="Times New Roman" w:hAnsi="Times New Roman" w:cs="Times New Roman"/>
        </w:rPr>
        <w:t>Markowitz portfolio optimization was applied separately to each cluster to derive optimal weight allocations maximizing the Sharpe ratio.</w:t>
      </w:r>
    </w:p>
    <w:p w14:paraId="2A5A485B" w14:textId="6AABC756" w:rsidR="00867915" w:rsidRPr="00867915" w:rsidRDefault="00867915" w:rsidP="00867915">
      <w:pPr>
        <w:rPr>
          <w:rFonts w:ascii="Times New Roman" w:hAnsi="Times New Roman" w:cs="Times New Roman"/>
          <w:b/>
          <w:bCs/>
        </w:rPr>
      </w:pPr>
      <w:r w:rsidRPr="00867915">
        <w:rPr>
          <w:rFonts w:ascii="Times New Roman" w:hAnsi="Times New Roman" w:cs="Times New Roman"/>
          <w:b/>
          <w:bCs/>
        </w:rPr>
        <w:t>Insights</w:t>
      </w:r>
      <w:r w:rsidR="0053026C">
        <w:rPr>
          <w:rFonts w:ascii="Times New Roman" w:hAnsi="Times New Roman" w:cs="Times New Roman"/>
          <w:b/>
          <w:bCs/>
        </w:rPr>
        <w:t xml:space="preserve"> (</w:t>
      </w:r>
      <w:r w:rsidR="0053026C">
        <w:rPr>
          <w:rFonts w:ascii="Times New Roman" w:hAnsi="Times New Roman" w:cs="Times New Roman"/>
        </w:rPr>
        <w:t>ac</w:t>
      </w:r>
      <w:r w:rsidR="0053026C" w:rsidRPr="0053026C">
        <w:rPr>
          <w:rFonts w:ascii="Times New Roman" w:hAnsi="Times New Roman" w:cs="Times New Roman"/>
        </w:rPr>
        <w:t>cording to Reward to Risk,Sharpe,Treynor Ratios and Beta</w:t>
      </w:r>
      <w:r w:rsidR="0053026C">
        <w:rPr>
          <w:rFonts w:ascii="Times New Roman" w:hAnsi="Times New Roman" w:cs="Times New Roman"/>
          <w:b/>
          <w:bCs/>
        </w:rPr>
        <w:t>):</w:t>
      </w:r>
    </w:p>
    <w:p w14:paraId="2201CF83" w14:textId="687DCEEC" w:rsidR="0078724E" w:rsidRPr="00181214" w:rsidRDefault="0078724E" w:rsidP="00181214">
      <w:pPr>
        <w:pStyle w:val="ListParagraph"/>
        <w:numPr>
          <w:ilvl w:val="0"/>
          <w:numId w:val="36"/>
        </w:numPr>
        <w:rPr>
          <w:rFonts w:ascii="Times New Roman" w:hAnsi="Times New Roman" w:cs="Times New Roman"/>
          <w:b/>
          <w:bCs/>
        </w:rPr>
      </w:pPr>
      <w:r w:rsidRPr="00181214">
        <w:rPr>
          <w:rFonts w:ascii="Times New Roman" w:hAnsi="Times New Roman" w:cs="Times New Roman"/>
          <w:b/>
          <w:bCs/>
        </w:rPr>
        <w:t>Best Risk-Adjusted Performer – Cluster 1</w:t>
      </w:r>
    </w:p>
    <w:p w14:paraId="3A828C90" w14:textId="77777777" w:rsidR="0078724E" w:rsidRPr="0078724E" w:rsidRDefault="0078724E" w:rsidP="0078724E">
      <w:pPr>
        <w:numPr>
          <w:ilvl w:val="0"/>
          <w:numId w:val="30"/>
        </w:numPr>
        <w:rPr>
          <w:rFonts w:ascii="Times New Roman" w:hAnsi="Times New Roman" w:cs="Times New Roman"/>
        </w:rPr>
      </w:pPr>
      <w:r w:rsidRPr="0078724E">
        <w:rPr>
          <w:rFonts w:ascii="Times New Roman" w:hAnsi="Times New Roman" w:cs="Times New Roman"/>
        </w:rPr>
        <w:t>Sharpe Ratio (0.73) &amp; Reward-to-Risk Ratio (1.16) are the highest.</w:t>
      </w:r>
    </w:p>
    <w:p w14:paraId="3D573E17" w14:textId="77777777" w:rsidR="0078724E" w:rsidRPr="0078724E" w:rsidRDefault="0078724E" w:rsidP="0078724E">
      <w:pPr>
        <w:numPr>
          <w:ilvl w:val="0"/>
          <w:numId w:val="30"/>
        </w:numPr>
        <w:rPr>
          <w:rFonts w:ascii="Times New Roman" w:hAnsi="Times New Roman" w:cs="Times New Roman"/>
        </w:rPr>
      </w:pPr>
      <w:r w:rsidRPr="0078724E">
        <w:rPr>
          <w:rFonts w:ascii="Times New Roman" w:hAnsi="Times New Roman" w:cs="Times New Roman"/>
        </w:rPr>
        <w:t>Low Beta (0.71) indicates lower volatility, making it an efficient risk-adjusted performer.</w:t>
      </w:r>
    </w:p>
    <w:p w14:paraId="56F5C0A9" w14:textId="77777777" w:rsidR="0078724E" w:rsidRPr="0078724E" w:rsidRDefault="0078724E" w:rsidP="0078724E">
      <w:pPr>
        <w:numPr>
          <w:ilvl w:val="0"/>
          <w:numId w:val="30"/>
        </w:numPr>
        <w:rPr>
          <w:rFonts w:ascii="Times New Roman" w:hAnsi="Times New Roman" w:cs="Times New Roman"/>
        </w:rPr>
      </w:pPr>
      <w:r w:rsidRPr="0078724E">
        <w:rPr>
          <w:rFonts w:ascii="Times New Roman" w:hAnsi="Times New Roman" w:cs="Times New Roman"/>
        </w:rPr>
        <w:t>Interpretation: A well-balanced, low-risk portfolio with strong return per unit of risk.</w:t>
      </w:r>
    </w:p>
    <w:p w14:paraId="2CECF81A" w14:textId="7F36BD19" w:rsidR="0078724E" w:rsidRPr="00181214" w:rsidRDefault="0078724E" w:rsidP="00181214">
      <w:pPr>
        <w:pStyle w:val="ListParagraph"/>
        <w:numPr>
          <w:ilvl w:val="0"/>
          <w:numId w:val="36"/>
        </w:numPr>
        <w:rPr>
          <w:rFonts w:ascii="Times New Roman" w:hAnsi="Times New Roman" w:cs="Times New Roman"/>
          <w:b/>
          <w:bCs/>
        </w:rPr>
      </w:pPr>
      <w:r w:rsidRPr="00181214">
        <w:rPr>
          <w:rFonts w:ascii="Times New Roman" w:hAnsi="Times New Roman" w:cs="Times New Roman"/>
          <w:b/>
          <w:bCs/>
        </w:rPr>
        <w:t>Strong Performer – Cluster 3 (ICICI Bank Dominates)</w:t>
      </w:r>
    </w:p>
    <w:p w14:paraId="19F6B5B8" w14:textId="77777777" w:rsidR="0078724E" w:rsidRPr="0078724E" w:rsidRDefault="0078724E" w:rsidP="0078724E">
      <w:pPr>
        <w:numPr>
          <w:ilvl w:val="0"/>
          <w:numId w:val="31"/>
        </w:numPr>
        <w:rPr>
          <w:rFonts w:ascii="Times New Roman" w:hAnsi="Times New Roman" w:cs="Times New Roman"/>
        </w:rPr>
      </w:pPr>
      <w:r w:rsidRPr="0078724E">
        <w:rPr>
          <w:rFonts w:ascii="Times New Roman" w:hAnsi="Times New Roman" w:cs="Times New Roman"/>
        </w:rPr>
        <w:t>Sharpe Ratio (0.67) and Reward-to-Risk Ratio (0.95) are high.</w:t>
      </w:r>
    </w:p>
    <w:p w14:paraId="28A61722" w14:textId="77777777" w:rsidR="0078724E" w:rsidRPr="0078724E" w:rsidRDefault="0078724E" w:rsidP="0078724E">
      <w:pPr>
        <w:numPr>
          <w:ilvl w:val="0"/>
          <w:numId w:val="31"/>
        </w:numPr>
        <w:rPr>
          <w:rFonts w:ascii="Times New Roman" w:hAnsi="Times New Roman" w:cs="Times New Roman"/>
        </w:rPr>
      </w:pPr>
      <w:r w:rsidRPr="0078724E">
        <w:rPr>
          <w:rFonts w:ascii="Times New Roman" w:hAnsi="Times New Roman" w:cs="Times New Roman"/>
        </w:rPr>
        <w:t>Moderate Beta (1.10) means it carries somewhat higher risk but good return efficiency.</w:t>
      </w:r>
    </w:p>
    <w:p w14:paraId="06D22B2D" w14:textId="77777777" w:rsidR="0078724E" w:rsidRDefault="0078724E" w:rsidP="0078724E">
      <w:pPr>
        <w:numPr>
          <w:ilvl w:val="0"/>
          <w:numId w:val="31"/>
        </w:numPr>
        <w:rPr>
          <w:rFonts w:ascii="Times New Roman" w:hAnsi="Times New Roman" w:cs="Times New Roman"/>
        </w:rPr>
      </w:pPr>
      <w:r w:rsidRPr="0078724E">
        <w:rPr>
          <w:rFonts w:ascii="Times New Roman" w:hAnsi="Times New Roman" w:cs="Times New Roman"/>
        </w:rPr>
        <w:t>Interpretation: A high-growth, high-profitability stock with good risk-adjusted returns, though exposed to stock-specific risks.</w:t>
      </w:r>
    </w:p>
    <w:p w14:paraId="3F816A22" w14:textId="77777777" w:rsidR="00181214" w:rsidRPr="0078724E" w:rsidRDefault="00181214" w:rsidP="00181214">
      <w:pPr>
        <w:ind w:left="720"/>
        <w:rPr>
          <w:rFonts w:ascii="Times New Roman" w:hAnsi="Times New Roman" w:cs="Times New Roman"/>
        </w:rPr>
      </w:pPr>
    </w:p>
    <w:p w14:paraId="47CF1D30" w14:textId="44CF82BE" w:rsidR="0078724E" w:rsidRPr="00181214" w:rsidRDefault="0078724E" w:rsidP="00181214">
      <w:pPr>
        <w:pStyle w:val="ListParagraph"/>
        <w:numPr>
          <w:ilvl w:val="0"/>
          <w:numId w:val="36"/>
        </w:numPr>
        <w:rPr>
          <w:rFonts w:ascii="Times New Roman" w:hAnsi="Times New Roman" w:cs="Times New Roman"/>
          <w:b/>
          <w:bCs/>
        </w:rPr>
      </w:pPr>
      <w:r w:rsidRPr="00181214">
        <w:rPr>
          <w:rFonts w:ascii="Times New Roman" w:hAnsi="Times New Roman" w:cs="Times New Roman"/>
          <w:b/>
          <w:bCs/>
        </w:rPr>
        <w:lastRenderedPageBreak/>
        <w:t>Moderate Performer – Cluster 4 (M&amp;M Finance Dominates)</w:t>
      </w:r>
    </w:p>
    <w:p w14:paraId="6F9F8AFC" w14:textId="77777777" w:rsidR="0078724E" w:rsidRPr="0078724E" w:rsidRDefault="0078724E" w:rsidP="0078724E">
      <w:pPr>
        <w:numPr>
          <w:ilvl w:val="0"/>
          <w:numId w:val="32"/>
        </w:numPr>
        <w:rPr>
          <w:rFonts w:ascii="Times New Roman" w:hAnsi="Times New Roman" w:cs="Times New Roman"/>
        </w:rPr>
      </w:pPr>
      <w:r w:rsidRPr="0078724E">
        <w:rPr>
          <w:rFonts w:ascii="Times New Roman" w:hAnsi="Times New Roman" w:cs="Times New Roman"/>
        </w:rPr>
        <w:t>Sharpe Ratio (0.39) and Reward-to-Risk Ratio (0.57) are moderate.</w:t>
      </w:r>
    </w:p>
    <w:p w14:paraId="56A3C980" w14:textId="77777777" w:rsidR="0078724E" w:rsidRPr="0078724E" w:rsidRDefault="0078724E" w:rsidP="0078724E">
      <w:pPr>
        <w:numPr>
          <w:ilvl w:val="0"/>
          <w:numId w:val="32"/>
        </w:numPr>
        <w:rPr>
          <w:rFonts w:ascii="Times New Roman" w:hAnsi="Times New Roman" w:cs="Times New Roman"/>
        </w:rPr>
      </w:pPr>
      <w:r w:rsidRPr="0078724E">
        <w:rPr>
          <w:rFonts w:ascii="Times New Roman" w:hAnsi="Times New Roman" w:cs="Times New Roman"/>
        </w:rPr>
        <w:t>High Beta (1.49) suggests higher market volatility.</w:t>
      </w:r>
    </w:p>
    <w:p w14:paraId="64761953" w14:textId="77777777" w:rsidR="0078724E" w:rsidRPr="0078724E" w:rsidRDefault="0078724E" w:rsidP="0078724E">
      <w:pPr>
        <w:numPr>
          <w:ilvl w:val="0"/>
          <w:numId w:val="32"/>
        </w:numPr>
        <w:rPr>
          <w:rFonts w:ascii="Times New Roman" w:hAnsi="Times New Roman" w:cs="Times New Roman"/>
        </w:rPr>
      </w:pPr>
      <w:r w:rsidRPr="0078724E">
        <w:rPr>
          <w:rFonts w:ascii="Times New Roman" w:hAnsi="Times New Roman" w:cs="Times New Roman"/>
        </w:rPr>
        <w:t>Interpretation: While moderately efficient, this cluster is highly sensitive to market movements, making it riskier than the benchmark.</w:t>
      </w:r>
    </w:p>
    <w:p w14:paraId="21B67F96" w14:textId="76E500FB" w:rsidR="0078724E" w:rsidRPr="00181214" w:rsidRDefault="0078724E" w:rsidP="00181214">
      <w:pPr>
        <w:pStyle w:val="ListParagraph"/>
        <w:numPr>
          <w:ilvl w:val="0"/>
          <w:numId w:val="36"/>
        </w:numPr>
        <w:rPr>
          <w:rFonts w:ascii="Times New Roman" w:hAnsi="Times New Roman" w:cs="Times New Roman"/>
          <w:b/>
          <w:bCs/>
        </w:rPr>
      </w:pPr>
      <w:r w:rsidRPr="00181214">
        <w:rPr>
          <w:rFonts w:ascii="Times New Roman" w:hAnsi="Times New Roman" w:cs="Times New Roman"/>
          <w:b/>
          <w:bCs/>
        </w:rPr>
        <w:t>Weak Performer – Cluster 2 (Bajaj Finance Dominates)</w:t>
      </w:r>
    </w:p>
    <w:p w14:paraId="71496FB0" w14:textId="77777777" w:rsidR="0078724E" w:rsidRPr="0078724E" w:rsidRDefault="0078724E" w:rsidP="0078724E">
      <w:pPr>
        <w:numPr>
          <w:ilvl w:val="0"/>
          <w:numId w:val="33"/>
        </w:numPr>
        <w:rPr>
          <w:rFonts w:ascii="Times New Roman" w:hAnsi="Times New Roman" w:cs="Times New Roman"/>
        </w:rPr>
      </w:pPr>
      <w:r w:rsidRPr="0078724E">
        <w:rPr>
          <w:rFonts w:ascii="Times New Roman" w:hAnsi="Times New Roman" w:cs="Times New Roman"/>
        </w:rPr>
        <w:t>Low Sharpe Ratio (0.26) &amp; Reward-to-Risk Ratio (0.48) indicate inefficient risk-adjusted returns.</w:t>
      </w:r>
    </w:p>
    <w:p w14:paraId="294E96BE" w14:textId="77777777" w:rsidR="0078724E" w:rsidRPr="0078724E" w:rsidRDefault="0078724E" w:rsidP="0078724E">
      <w:pPr>
        <w:numPr>
          <w:ilvl w:val="0"/>
          <w:numId w:val="33"/>
        </w:numPr>
        <w:rPr>
          <w:rFonts w:ascii="Times New Roman" w:hAnsi="Times New Roman" w:cs="Times New Roman"/>
        </w:rPr>
      </w:pPr>
      <w:r w:rsidRPr="0078724E">
        <w:rPr>
          <w:rFonts w:ascii="Times New Roman" w:hAnsi="Times New Roman" w:cs="Times New Roman"/>
        </w:rPr>
        <w:t>High Beta (1.34) means high volatility but without strong compensation in returns.</w:t>
      </w:r>
    </w:p>
    <w:p w14:paraId="46F9CEC4" w14:textId="77777777" w:rsidR="0078724E" w:rsidRPr="0078724E" w:rsidRDefault="0078724E" w:rsidP="0078724E">
      <w:pPr>
        <w:numPr>
          <w:ilvl w:val="0"/>
          <w:numId w:val="33"/>
        </w:numPr>
        <w:rPr>
          <w:rFonts w:ascii="Times New Roman" w:hAnsi="Times New Roman" w:cs="Times New Roman"/>
        </w:rPr>
      </w:pPr>
      <w:r w:rsidRPr="0078724E">
        <w:rPr>
          <w:rFonts w:ascii="Times New Roman" w:hAnsi="Times New Roman" w:cs="Times New Roman"/>
        </w:rPr>
        <w:t>Interpretation: The cluster exhibits high risk with low return efficiency, making it a weak performer in risk-adjusted terms.</w:t>
      </w:r>
    </w:p>
    <w:p w14:paraId="787E0393" w14:textId="32DCFA46" w:rsidR="0078724E" w:rsidRPr="00181214" w:rsidRDefault="0078724E" w:rsidP="00181214">
      <w:pPr>
        <w:pStyle w:val="ListParagraph"/>
        <w:numPr>
          <w:ilvl w:val="0"/>
          <w:numId w:val="36"/>
        </w:numPr>
        <w:rPr>
          <w:rFonts w:ascii="Times New Roman" w:hAnsi="Times New Roman" w:cs="Times New Roman"/>
          <w:b/>
          <w:bCs/>
        </w:rPr>
      </w:pPr>
      <w:r w:rsidRPr="00181214">
        <w:rPr>
          <w:rFonts w:ascii="Times New Roman" w:hAnsi="Times New Roman" w:cs="Times New Roman"/>
          <w:b/>
          <w:bCs/>
        </w:rPr>
        <w:t>Poor Performer – Cluster 5 (19 Stocks, High Debt/Equity)</w:t>
      </w:r>
    </w:p>
    <w:p w14:paraId="155C1E75" w14:textId="77777777" w:rsidR="0078724E" w:rsidRPr="0078724E" w:rsidRDefault="0078724E" w:rsidP="0078724E">
      <w:pPr>
        <w:numPr>
          <w:ilvl w:val="0"/>
          <w:numId w:val="34"/>
        </w:numPr>
        <w:rPr>
          <w:rFonts w:ascii="Times New Roman" w:hAnsi="Times New Roman" w:cs="Times New Roman"/>
        </w:rPr>
      </w:pPr>
      <w:r w:rsidRPr="0078724E">
        <w:rPr>
          <w:rFonts w:ascii="Times New Roman" w:hAnsi="Times New Roman" w:cs="Times New Roman"/>
        </w:rPr>
        <w:t>Very Low Sharpe Ratio (0.02) and Reward-to-Risk Ratio (0.33).</w:t>
      </w:r>
    </w:p>
    <w:p w14:paraId="0A093251" w14:textId="77777777" w:rsidR="0078724E" w:rsidRPr="0078724E" w:rsidRDefault="0078724E" w:rsidP="0078724E">
      <w:pPr>
        <w:numPr>
          <w:ilvl w:val="0"/>
          <w:numId w:val="34"/>
        </w:numPr>
        <w:rPr>
          <w:rFonts w:ascii="Times New Roman" w:hAnsi="Times New Roman" w:cs="Times New Roman"/>
        </w:rPr>
      </w:pPr>
      <w:r w:rsidRPr="0078724E">
        <w:rPr>
          <w:rFonts w:ascii="Times New Roman" w:hAnsi="Times New Roman" w:cs="Times New Roman"/>
        </w:rPr>
        <w:t>Moderate Beta (1.05) suggests exposure to market fluctuations.</w:t>
      </w:r>
    </w:p>
    <w:p w14:paraId="1DDC0FAA" w14:textId="77777777" w:rsidR="0078724E" w:rsidRPr="0078724E" w:rsidRDefault="0078724E" w:rsidP="0078724E">
      <w:pPr>
        <w:numPr>
          <w:ilvl w:val="0"/>
          <w:numId w:val="34"/>
        </w:numPr>
        <w:rPr>
          <w:rFonts w:ascii="Times New Roman" w:hAnsi="Times New Roman" w:cs="Times New Roman"/>
        </w:rPr>
      </w:pPr>
      <w:r w:rsidRPr="0078724E">
        <w:rPr>
          <w:rFonts w:ascii="Times New Roman" w:hAnsi="Times New Roman" w:cs="Times New Roman"/>
        </w:rPr>
        <w:t>Interpretation: Over-leveraged and inefficient in generating returns for the risk taken, leading to poor overall performance.</w:t>
      </w:r>
    </w:p>
    <w:p w14:paraId="1E51B61D" w14:textId="37626B91" w:rsidR="0078724E" w:rsidRPr="00181214" w:rsidRDefault="0078724E" w:rsidP="00181214">
      <w:pPr>
        <w:pStyle w:val="ListParagraph"/>
        <w:numPr>
          <w:ilvl w:val="0"/>
          <w:numId w:val="36"/>
        </w:numPr>
        <w:rPr>
          <w:rFonts w:ascii="Times New Roman" w:hAnsi="Times New Roman" w:cs="Times New Roman"/>
          <w:b/>
          <w:bCs/>
        </w:rPr>
      </w:pPr>
      <w:r w:rsidRPr="00181214">
        <w:rPr>
          <w:rFonts w:ascii="Times New Roman" w:hAnsi="Times New Roman" w:cs="Times New Roman"/>
          <w:b/>
          <w:bCs/>
        </w:rPr>
        <w:t>Worst Performer – Cluster 0 (Bandhan Bank Dominates)</w:t>
      </w:r>
    </w:p>
    <w:p w14:paraId="3FC449B5" w14:textId="77777777" w:rsidR="0078724E" w:rsidRPr="0078724E" w:rsidRDefault="0078724E" w:rsidP="0078724E">
      <w:pPr>
        <w:numPr>
          <w:ilvl w:val="0"/>
          <w:numId w:val="35"/>
        </w:numPr>
        <w:rPr>
          <w:rFonts w:ascii="Times New Roman" w:hAnsi="Times New Roman" w:cs="Times New Roman"/>
        </w:rPr>
      </w:pPr>
      <w:r w:rsidRPr="0078724E">
        <w:rPr>
          <w:rFonts w:ascii="Times New Roman" w:hAnsi="Times New Roman" w:cs="Times New Roman"/>
        </w:rPr>
        <w:t>Negative Sharpe Ratio (-0.57) &amp; Reward-to-Risk Ratio (-0.38) indicate severe underperformance.</w:t>
      </w:r>
    </w:p>
    <w:p w14:paraId="684C700E" w14:textId="77777777" w:rsidR="0078724E" w:rsidRPr="0078724E" w:rsidRDefault="0078724E" w:rsidP="0078724E">
      <w:pPr>
        <w:numPr>
          <w:ilvl w:val="0"/>
          <w:numId w:val="35"/>
        </w:numPr>
        <w:rPr>
          <w:rFonts w:ascii="Times New Roman" w:hAnsi="Times New Roman" w:cs="Times New Roman"/>
        </w:rPr>
      </w:pPr>
      <w:r w:rsidRPr="0078724E">
        <w:rPr>
          <w:rFonts w:ascii="Times New Roman" w:hAnsi="Times New Roman" w:cs="Times New Roman"/>
        </w:rPr>
        <w:t>High Beta (1.22) suggests it took excessive risk but failed to generate positive returns.</w:t>
      </w:r>
    </w:p>
    <w:p w14:paraId="5773B7FB" w14:textId="77777777" w:rsidR="0078724E" w:rsidRPr="0078724E" w:rsidRDefault="0078724E" w:rsidP="0078724E">
      <w:pPr>
        <w:numPr>
          <w:ilvl w:val="0"/>
          <w:numId w:val="35"/>
        </w:numPr>
        <w:rPr>
          <w:rFonts w:ascii="Times New Roman" w:hAnsi="Times New Roman" w:cs="Times New Roman"/>
        </w:rPr>
      </w:pPr>
      <w:r w:rsidRPr="0078724E">
        <w:rPr>
          <w:rFonts w:ascii="Times New Roman" w:hAnsi="Times New Roman" w:cs="Times New Roman"/>
        </w:rPr>
        <w:t>Interpretation: Worst in risk-adjusted terms, indicating excessive volatility without reward.</w:t>
      </w:r>
    </w:p>
    <w:p w14:paraId="2BF9D7D7" w14:textId="77777777" w:rsidR="00426436" w:rsidRDefault="00426436" w:rsidP="003E0533">
      <w:pPr>
        <w:rPr>
          <w:rFonts w:ascii="Times New Roman" w:hAnsi="Times New Roman" w:cs="Times New Roman"/>
          <w:b/>
          <w:bCs/>
        </w:rPr>
      </w:pPr>
    </w:p>
    <w:p w14:paraId="66FDA0D6" w14:textId="77777777" w:rsidR="00426436" w:rsidRDefault="00426436" w:rsidP="003E0533">
      <w:pPr>
        <w:rPr>
          <w:rFonts w:ascii="Times New Roman" w:hAnsi="Times New Roman" w:cs="Times New Roman"/>
          <w:b/>
          <w:bCs/>
        </w:rPr>
      </w:pPr>
    </w:p>
    <w:p w14:paraId="27086635" w14:textId="77777777" w:rsidR="00426436" w:rsidRDefault="00426436" w:rsidP="003E0533">
      <w:pPr>
        <w:rPr>
          <w:rFonts w:ascii="Times New Roman" w:hAnsi="Times New Roman" w:cs="Times New Roman"/>
          <w:b/>
          <w:bCs/>
        </w:rPr>
      </w:pPr>
    </w:p>
    <w:p w14:paraId="7AA07FA5" w14:textId="77777777" w:rsidR="00426436" w:rsidRDefault="00426436" w:rsidP="003E0533">
      <w:pPr>
        <w:rPr>
          <w:rFonts w:ascii="Times New Roman" w:hAnsi="Times New Roman" w:cs="Times New Roman"/>
          <w:b/>
          <w:bCs/>
        </w:rPr>
      </w:pPr>
    </w:p>
    <w:p w14:paraId="195498BE" w14:textId="77777777" w:rsidR="00426436" w:rsidRDefault="00426436" w:rsidP="003E0533">
      <w:pPr>
        <w:rPr>
          <w:rFonts w:ascii="Times New Roman" w:hAnsi="Times New Roman" w:cs="Times New Roman"/>
          <w:b/>
          <w:bCs/>
        </w:rPr>
      </w:pPr>
    </w:p>
    <w:p w14:paraId="5540542C" w14:textId="77777777" w:rsidR="00426436" w:rsidRDefault="00426436" w:rsidP="003E0533">
      <w:pPr>
        <w:rPr>
          <w:rFonts w:ascii="Times New Roman" w:hAnsi="Times New Roman" w:cs="Times New Roman"/>
          <w:b/>
          <w:bCs/>
        </w:rPr>
      </w:pPr>
    </w:p>
    <w:p w14:paraId="6D773219" w14:textId="77777777" w:rsidR="00426436" w:rsidRDefault="00426436" w:rsidP="003E0533">
      <w:pPr>
        <w:rPr>
          <w:rFonts w:ascii="Times New Roman" w:hAnsi="Times New Roman" w:cs="Times New Roman"/>
          <w:b/>
          <w:bCs/>
        </w:rPr>
      </w:pPr>
    </w:p>
    <w:p w14:paraId="2AEAFF95" w14:textId="77777777" w:rsidR="00426436" w:rsidRDefault="00426436" w:rsidP="003E0533">
      <w:pPr>
        <w:rPr>
          <w:rFonts w:ascii="Times New Roman" w:hAnsi="Times New Roman" w:cs="Times New Roman"/>
          <w:b/>
          <w:bCs/>
        </w:rPr>
      </w:pPr>
    </w:p>
    <w:p w14:paraId="1DC655CD" w14:textId="77777777" w:rsidR="00426436" w:rsidRDefault="00426436" w:rsidP="003E0533">
      <w:pPr>
        <w:rPr>
          <w:rFonts w:ascii="Times New Roman" w:hAnsi="Times New Roman" w:cs="Times New Roman"/>
          <w:b/>
          <w:bCs/>
        </w:rPr>
      </w:pPr>
    </w:p>
    <w:p w14:paraId="308D6A09" w14:textId="77777777" w:rsidR="00DD6AC6" w:rsidRDefault="00DD6AC6" w:rsidP="003E0533">
      <w:pPr>
        <w:rPr>
          <w:rFonts w:ascii="Times New Roman" w:hAnsi="Times New Roman" w:cs="Times New Roman"/>
          <w:b/>
          <w:bCs/>
        </w:rPr>
      </w:pPr>
    </w:p>
    <w:p w14:paraId="08D07C39" w14:textId="7CF3D05D" w:rsidR="003E0533" w:rsidRPr="00BF0C80" w:rsidRDefault="003E0533" w:rsidP="003E0533">
      <w:pPr>
        <w:rPr>
          <w:rFonts w:ascii="Times New Roman" w:hAnsi="Times New Roman" w:cs="Times New Roman"/>
          <w:b/>
          <w:bCs/>
          <w:sz w:val="28"/>
          <w:szCs w:val="28"/>
        </w:rPr>
      </w:pPr>
      <w:r w:rsidRPr="00BF0C80">
        <w:rPr>
          <w:rFonts w:ascii="Times New Roman" w:hAnsi="Times New Roman" w:cs="Times New Roman"/>
          <w:b/>
          <w:bCs/>
          <w:sz w:val="28"/>
          <w:szCs w:val="28"/>
        </w:rPr>
        <w:t>6. VaR Computation</w:t>
      </w:r>
    </w:p>
    <w:p w14:paraId="413A52A6" w14:textId="19A2E592" w:rsidR="003E0533" w:rsidRPr="003E0533" w:rsidRDefault="003E0533" w:rsidP="003E0533">
      <w:pPr>
        <w:rPr>
          <w:rFonts w:ascii="Times New Roman" w:hAnsi="Times New Roman" w:cs="Times New Roman"/>
          <w:b/>
          <w:bCs/>
        </w:rPr>
      </w:pPr>
      <w:r w:rsidRPr="003E0533">
        <w:rPr>
          <w:rFonts w:ascii="Times New Roman" w:hAnsi="Times New Roman" w:cs="Times New Roman"/>
          <w:b/>
          <w:bCs/>
        </w:rPr>
        <w:t>Methodology</w:t>
      </w:r>
    </w:p>
    <w:p w14:paraId="05F494ED" w14:textId="77777777" w:rsidR="0017177E" w:rsidRPr="0017177E" w:rsidRDefault="003E0533" w:rsidP="007C60BA">
      <w:pPr>
        <w:rPr>
          <w:rFonts w:ascii="Times New Roman" w:hAnsi="Times New Roman" w:cs="Times New Roman"/>
        </w:rPr>
      </w:pPr>
      <w:r w:rsidRPr="003E0533">
        <w:rPr>
          <w:rFonts w:ascii="Times New Roman" w:hAnsi="Times New Roman" w:cs="Times New Roman"/>
        </w:rPr>
        <w:t>Value at Risk (VaR) was calculated at a confidence level of 99% using historical simulation methods</w:t>
      </w:r>
    </w:p>
    <w:p w14:paraId="007404D3" w14:textId="78378848" w:rsidR="007C60BA" w:rsidRPr="0017177E" w:rsidRDefault="007C60BA" w:rsidP="007C60BA">
      <w:pPr>
        <w:rPr>
          <w:rFonts w:ascii="Times New Roman" w:hAnsi="Times New Roman" w:cs="Times New Roman"/>
          <w:b/>
          <w:bCs/>
        </w:rPr>
      </w:pPr>
      <w:r w:rsidRPr="0017177E">
        <w:rPr>
          <w:rFonts w:ascii="Times New Roman" w:hAnsi="Times New Roman" w:cs="Times New Roman"/>
          <w:b/>
          <w:bCs/>
        </w:rPr>
        <w:t>Cluster-wise Risk Analysis</w:t>
      </w:r>
    </w:p>
    <w:tbl>
      <w:tblPr>
        <w:tblStyle w:val="PlainTable2"/>
        <w:tblW w:w="0" w:type="auto"/>
        <w:tblLook w:val="04A0" w:firstRow="1" w:lastRow="0" w:firstColumn="1" w:lastColumn="0" w:noHBand="0" w:noVBand="1"/>
      </w:tblPr>
      <w:tblGrid>
        <w:gridCol w:w="1030"/>
        <w:gridCol w:w="1938"/>
        <w:gridCol w:w="1614"/>
        <w:gridCol w:w="4444"/>
      </w:tblGrid>
      <w:tr w:rsidR="009A48E4" w:rsidRPr="007C60BA" w14:paraId="2A893B1B" w14:textId="77777777" w:rsidTr="009A4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E9CBE5" w14:textId="77777777" w:rsidR="007C60BA" w:rsidRPr="007C60BA" w:rsidRDefault="007C60BA" w:rsidP="007C60BA">
            <w:pPr>
              <w:spacing w:after="160" w:line="278" w:lineRule="auto"/>
              <w:rPr>
                <w:rFonts w:ascii="Times New Roman" w:hAnsi="Times New Roman" w:cs="Times New Roman"/>
              </w:rPr>
            </w:pPr>
            <w:r w:rsidRPr="007C60BA">
              <w:rPr>
                <w:rFonts w:ascii="Times New Roman" w:hAnsi="Times New Roman" w:cs="Times New Roman"/>
              </w:rPr>
              <w:t>Cluster</w:t>
            </w:r>
          </w:p>
        </w:tc>
        <w:tc>
          <w:tcPr>
            <w:tcW w:w="0" w:type="auto"/>
            <w:hideMark/>
          </w:tcPr>
          <w:p w14:paraId="0D4007B5" w14:textId="77777777" w:rsidR="007C60BA" w:rsidRPr="007C60BA" w:rsidRDefault="007C60BA" w:rsidP="007C60BA">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C60BA">
              <w:rPr>
                <w:rFonts w:ascii="Times New Roman" w:hAnsi="Times New Roman" w:cs="Times New Roman"/>
              </w:rPr>
              <w:t>VaR (99% Confidence Level)</w:t>
            </w:r>
          </w:p>
        </w:tc>
        <w:tc>
          <w:tcPr>
            <w:tcW w:w="0" w:type="auto"/>
            <w:hideMark/>
          </w:tcPr>
          <w:p w14:paraId="6C745EFA" w14:textId="77777777" w:rsidR="007C60BA" w:rsidRPr="007C60BA" w:rsidRDefault="007C60BA" w:rsidP="007C60BA">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C60BA">
              <w:rPr>
                <w:rFonts w:ascii="Times New Roman" w:hAnsi="Times New Roman" w:cs="Times New Roman"/>
              </w:rPr>
              <w:t>Risk Level</w:t>
            </w:r>
          </w:p>
        </w:tc>
        <w:tc>
          <w:tcPr>
            <w:tcW w:w="0" w:type="auto"/>
            <w:hideMark/>
          </w:tcPr>
          <w:p w14:paraId="476C8DD0" w14:textId="77777777" w:rsidR="007C60BA" w:rsidRPr="007C60BA" w:rsidRDefault="007C60BA" w:rsidP="007C60BA">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C60BA">
              <w:rPr>
                <w:rFonts w:ascii="Times New Roman" w:hAnsi="Times New Roman" w:cs="Times New Roman"/>
              </w:rPr>
              <w:t>Risk Interpretation</w:t>
            </w:r>
          </w:p>
        </w:tc>
      </w:tr>
      <w:tr w:rsidR="009A48E4" w:rsidRPr="007C60BA" w14:paraId="15F3485F" w14:textId="77777777" w:rsidTr="009A4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AD4CC7" w14:textId="77777777" w:rsidR="007C60BA" w:rsidRPr="007C60BA" w:rsidRDefault="007C60BA" w:rsidP="007C60BA">
            <w:pPr>
              <w:spacing w:after="160" w:line="278" w:lineRule="auto"/>
              <w:rPr>
                <w:rFonts w:ascii="Times New Roman" w:hAnsi="Times New Roman" w:cs="Times New Roman"/>
              </w:rPr>
            </w:pPr>
            <w:r w:rsidRPr="007C60BA">
              <w:rPr>
                <w:rFonts w:ascii="Times New Roman" w:hAnsi="Times New Roman" w:cs="Times New Roman"/>
              </w:rPr>
              <w:t>Cluster 1</w:t>
            </w:r>
          </w:p>
        </w:tc>
        <w:tc>
          <w:tcPr>
            <w:tcW w:w="0" w:type="auto"/>
            <w:hideMark/>
          </w:tcPr>
          <w:p w14:paraId="2C67638F" w14:textId="77777777" w:rsidR="007C60BA" w:rsidRPr="007C60BA" w:rsidRDefault="007C60BA" w:rsidP="007C60BA">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60BA">
              <w:rPr>
                <w:rFonts w:ascii="Times New Roman" w:hAnsi="Times New Roman" w:cs="Times New Roman"/>
                <w:b/>
                <w:bCs/>
              </w:rPr>
              <w:t>-0.0257</w:t>
            </w:r>
          </w:p>
        </w:tc>
        <w:tc>
          <w:tcPr>
            <w:tcW w:w="0" w:type="auto"/>
            <w:hideMark/>
          </w:tcPr>
          <w:p w14:paraId="156322C5" w14:textId="77777777" w:rsidR="007C60BA" w:rsidRPr="007C60BA" w:rsidRDefault="007C60BA" w:rsidP="007C60BA">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60BA">
              <w:rPr>
                <w:rFonts w:ascii="Times New Roman" w:hAnsi="Times New Roman" w:cs="Times New Roman"/>
                <w:b/>
                <w:bCs/>
              </w:rPr>
              <w:t>Low Risk</w:t>
            </w:r>
          </w:p>
        </w:tc>
        <w:tc>
          <w:tcPr>
            <w:tcW w:w="0" w:type="auto"/>
            <w:hideMark/>
          </w:tcPr>
          <w:p w14:paraId="17398D6D" w14:textId="77777777" w:rsidR="007C60BA" w:rsidRPr="007C60BA" w:rsidRDefault="007C60BA" w:rsidP="007C60BA">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60BA">
              <w:rPr>
                <w:rFonts w:ascii="Times New Roman" w:hAnsi="Times New Roman" w:cs="Times New Roman"/>
              </w:rPr>
              <w:t>Best-performing cluster with diversified exposure and low downside risk.</w:t>
            </w:r>
          </w:p>
        </w:tc>
      </w:tr>
      <w:tr w:rsidR="00547EA7" w:rsidRPr="007C60BA" w14:paraId="72F3537E" w14:textId="77777777" w:rsidTr="00685487">
        <w:trPr>
          <w:trHeight w:val="857"/>
        </w:trPr>
        <w:tc>
          <w:tcPr>
            <w:cnfStyle w:val="001000000000" w:firstRow="0" w:lastRow="0" w:firstColumn="1" w:lastColumn="0" w:oddVBand="0" w:evenVBand="0" w:oddHBand="0" w:evenHBand="0" w:firstRowFirstColumn="0" w:firstRowLastColumn="0" w:lastRowFirstColumn="0" w:lastRowLastColumn="0"/>
            <w:tcW w:w="0" w:type="auto"/>
          </w:tcPr>
          <w:p w14:paraId="2F2BE518" w14:textId="606C80F5" w:rsidR="00547EA7" w:rsidRPr="007C60BA" w:rsidRDefault="00547EA7" w:rsidP="00547EA7">
            <w:pPr>
              <w:rPr>
                <w:rFonts w:ascii="Times New Roman" w:hAnsi="Times New Roman" w:cs="Times New Roman"/>
              </w:rPr>
            </w:pPr>
            <w:r w:rsidRPr="007C60BA">
              <w:rPr>
                <w:rFonts w:ascii="Times New Roman" w:hAnsi="Times New Roman" w:cs="Times New Roman"/>
              </w:rPr>
              <w:t>Cluster 5</w:t>
            </w:r>
          </w:p>
        </w:tc>
        <w:tc>
          <w:tcPr>
            <w:tcW w:w="0" w:type="auto"/>
          </w:tcPr>
          <w:p w14:paraId="42008B35" w14:textId="3D9C1843" w:rsidR="00547EA7" w:rsidRPr="007C60BA" w:rsidRDefault="00547EA7" w:rsidP="0054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7C60BA">
              <w:rPr>
                <w:rFonts w:ascii="Times New Roman" w:hAnsi="Times New Roman" w:cs="Times New Roman"/>
                <w:b/>
                <w:bCs/>
              </w:rPr>
              <w:t>-0.0349</w:t>
            </w:r>
          </w:p>
        </w:tc>
        <w:tc>
          <w:tcPr>
            <w:tcW w:w="0" w:type="auto"/>
          </w:tcPr>
          <w:p w14:paraId="29E940A7" w14:textId="285B9357" w:rsidR="00547EA7" w:rsidRPr="007C60BA" w:rsidRDefault="00547EA7" w:rsidP="0054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7C60BA">
              <w:rPr>
                <w:rFonts w:ascii="Times New Roman" w:hAnsi="Times New Roman" w:cs="Times New Roman"/>
                <w:b/>
                <w:bCs/>
              </w:rPr>
              <w:t>Moderate-Low Risk</w:t>
            </w:r>
          </w:p>
        </w:tc>
        <w:tc>
          <w:tcPr>
            <w:tcW w:w="0" w:type="auto"/>
          </w:tcPr>
          <w:p w14:paraId="74621CAF" w14:textId="5C3031A4" w:rsidR="00547EA7" w:rsidRPr="007C60BA" w:rsidRDefault="00547EA7" w:rsidP="00547E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60BA">
              <w:rPr>
                <w:rFonts w:ascii="Times New Roman" w:hAnsi="Times New Roman" w:cs="Times New Roman"/>
              </w:rPr>
              <w:t>19-stock portfolio with manageable leverage, leading to lower downside risk.</w:t>
            </w:r>
          </w:p>
        </w:tc>
      </w:tr>
      <w:tr w:rsidR="00547EA7" w:rsidRPr="007C60BA" w14:paraId="518E08BC" w14:textId="77777777" w:rsidTr="009A4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2C19B6" w14:textId="77777777" w:rsidR="00547EA7" w:rsidRPr="007C60BA" w:rsidRDefault="00547EA7" w:rsidP="00547EA7">
            <w:pPr>
              <w:spacing w:after="160" w:line="278" w:lineRule="auto"/>
              <w:rPr>
                <w:rFonts w:ascii="Times New Roman" w:hAnsi="Times New Roman" w:cs="Times New Roman"/>
              </w:rPr>
            </w:pPr>
            <w:r w:rsidRPr="007C60BA">
              <w:rPr>
                <w:rFonts w:ascii="Times New Roman" w:hAnsi="Times New Roman" w:cs="Times New Roman"/>
              </w:rPr>
              <w:t>Cluster 3</w:t>
            </w:r>
          </w:p>
        </w:tc>
        <w:tc>
          <w:tcPr>
            <w:tcW w:w="0" w:type="auto"/>
            <w:hideMark/>
          </w:tcPr>
          <w:p w14:paraId="03E3339D" w14:textId="77777777" w:rsidR="00547EA7" w:rsidRPr="007C60BA" w:rsidRDefault="00547EA7" w:rsidP="00547EA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60BA">
              <w:rPr>
                <w:rFonts w:ascii="Times New Roman" w:hAnsi="Times New Roman" w:cs="Times New Roman"/>
                <w:b/>
                <w:bCs/>
              </w:rPr>
              <w:t>-0.0408</w:t>
            </w:r>
          </w:p>
        </w:tc>
        <w:tc>
          <w:tcPr>
            <w:tcW w:w="0" w:type="auto"/>
            <w:hideMark/>
          </w:tcPr>
          <w:p w14:paraId="3E3FAF01" w14:textId="77777777" w:rsidR="00547EA7" w:rsidRPr="007C60BA" w:rsidRDefault="00547EA7" w:rsidP="00547EA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60BA">
              <w:rPr>
                <w:rFonts w:ascii="Times New Roman" w:hAnsi="Times New Roman" w:cs="Times New Roman"/>
                <w:b/>
                <w:bCs/>
              </w:rPr>
              <w:t>Moderate Risk</w:t>
            </w:r>
          </w:p>
        </w:tc>
        <w:tc>
          <w:tcPr>
            <w:tcW w:w="0" w:type="auto"/>
            <w:hideMark/>
          </w:tcPr>
          <w:p w14:paraId="2C299035" w14:textId="77777777" w:rsidR="00547EA7" w:rsidRPr="007C60BA" w:rsidRDefault="00547EA7" w:rsidP="00547EA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60BA">
              <w:rPr>
                <w:rFonts w:ascii="Times New Roman" w:hAnsi="Times New Roman" w:cs="Times New Roman"/>
              </w:rPr>
              <w:t>Single-stock cluster (ICICI Bank) with stable fundamentals but some downside risk.</w:t>
            </w:r>
          </w:p>
        </w:tc>
      </w:tr>
      <w:tr w:rsidR="00547EA7" w:rsidRPr="007C60BA" w14:paraId="5A6A5B4B" w14:textId="77777777" w:rsidTr="009A48E4">
        <w:tc>
          <w:tcPr>
            <w:cnfStyle w:val="001000000000" w:firstRow="0" w:lastRow="0" w:firstColumn="1" w:lastColumn="0" w:oddVBand="0" w:evenVBand="0" w:oddHBand="0" w:evenHBand="0" w:firstRowFirstColumn="0" w:firstRowLastColumn="0" w:lastRowFirstColumn="0" w:lastRowLastColumn="0"/>
            <w:tcW w:w="0" w:type="auto"/>
            <w:hideMark/>
          </w:tcPr>
          <w:p w14:paraId="6F99B1A3" w14:textId="77777777" w:rsidR="00547EA7" w:rsidRPr="007C60BA" w:rsidRDefault="00547EA7" w:rsidP="00547EA7">
            <w:pPr>
              <w:spacing w:after="160" w:line="278" w:lineRule="auto"/>
              <w:rPr>
                <w:rFonts w:ascii="Times New Roman" w:hAnsi="Times New Roman" w:cs="Times New Roman"/>
              </w:rPr>
            </w:pPr>
            <w:r w:rsidRPr="007C60BA">
              <w:rPr>
                <w:rFonts w:ascii="Times New Roman" w:hAnsi="Times New Roman" w:cs="Times New Roman"/>
              </w:rPr>
              <w:t>Cluster 4</w:t>
            </w:r>
          </w:p>
        </w:tc>
        <w:tc>
          <w:tcPr>
            <w:tcW w:w="0" w:type="auto"/>
            <w:hideMark/>
          </w:tcPr>
          <w:p w14:paraId="7640A07D" w14:textId="77777777" w:rsidR="00547EA7" w:rsidRPr="007C60BA" w:rsidRDefault="00547EA7" w:rsidP="00547EA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60BA">
              <w:rPr>
                <w:rFonts w:ascii="Times New Roman" w:hAnsi="Times New Roman" w:cs="Times New Roman"/>
                <w:b/>
                <w:bCs/>
              </w:rPr>
              <w:t>-0.0584</w:t>
            </w:r>
          </w:p>
        </w:tc>
        <w:tc>
          <w:tcPr>
            <w:tcW w:w="0" w:type="auto"/>
            <w:hideMark/>
          </w:tcPr>
          <w:p w14:paraId="2859D95E" w14:textId="77777777" w:rsidR="00547EA7" w:rsidRPr="007C60BA" w:rsidRDefault="00547EA7" w:rsidP="00547EA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60BA">
              <w:rPr>
                <w:rFonts w:ascii="Times New Roman" w:hAnsi="Times New Roman" w:cs="Times New Roman"/>
                <w:b/>
                <w:bCs/>
              </w:rPr>
              <w:t>Moderate-High Risk</w:t>
            </w:r>
          </w:p>
        </w:tc>
        <w:tc>
          <w:tcPr>
            <w:tcW w:w="0" w:type="auto"/>
            <w:hideMark/>
          </w:tcPr>
          <w:p w14:paraId="19F4ABAA" w14:textId="77777777" w:rsidR="00547EA7" w:rsidRPr="007C60BA" w:rsidRDefault="00547EA7" w:rsidP="00547EA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60BA">
              <w:rPr>
                <w:rFonts w:ascii="Times New Roman" w:hAnsi="Times New Roman" w:cs="Times New Roman"/>
              </w:rPr>
              <w:t>7-stock cluster (M&amp;M Finance-dominated) with exposure to financial stocks, making it relatively risky.</w:t>
            </w:r>
          </w:p>
        </w:tc>
      </w:tr>
      <w:tr w:rsidR="00547EA7" w:rsidRPr="007C60BA" w14:paraId="06D6009F" w14:textId="77777777" w:rsidTr="009A4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3D317A" w14:textId="77777777" w:rsidR="00547EA7" w:rsidRPr="007C60BA" w:rsidRDefault="00547EA7" w:rsidP="00547EA7">
            <w:pPr>
              <w:spacing w:after="160" w:line="278" w:lineRule="auto"/>
              <w:rPr>
                <w:rFonts w:ascii="Times New Roman" w:hAnsi="Times New Roman" w:cs="Times New Roman"/>
              </w:rPr>
            </w:pPr>
            <w:r w:rsidRPr="007C60BA">
              <w:rPr>
                <w:rFonts w:ascii="Times New Roman" w:hAnsi="Times New Roman" w:cs="Times New Roman"/>
              </w:rPr>
              <w:t>Cluster 2</w:t>
            </w:r>
          </w:p>
        </w:tc>
        <w:tc>
          <w:tcPr>
            <w:tcW w:w="0" w:type="auto"/>
            <w:hideMark/>
          </w:tcPr>
          <w:p w14:paraId="6F9FD801" w14:textId="77777777" w:rsidR="00547EA7" w:rsidRPr="007C60BA" w:rsidRDefault="00547EA7" w:rsidP="00547EA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60BA">
              <w:rPr>
                <w:rFonts w:ascii="Times New Roman" w:hAnsi="Times New Roman" w:cs="Times New Roman"/>
                <w:b/>
                <w:bCs/>
              </w:rPr>
              <w:t>-0.0555</w:t>
            </w:r>
          </w:p>
        </w:tc>
        <w:tc>
          <w:tcPr>
            <w:tcW w:w="0" w:type="auto"/>
            <w:hideMark/>
          </w:tcPr>
          <w:p w14:paraId="622E9187" w14:textId="77777777" w:rsidR="00547EA7" w:rsidRPr="007C60BA" w:rsidRDefault="00547EA7" w:rsidP="00547EA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60BA">
              <w:rPr>
                <w:rFonts w:ascii="Times New Roman" w:hAnsi="Times New Roman" w:cs="Times New Roman"/>
                <w:b/>
                <w:bCs/>
              </w:rPr>
              <w:t>Moderate-High Risk</w:t>
            </w:r>
          </w:p>
        </w:tc>
        <w:tc>
          <w:tcPr>
            <w:tcW w:w="0" w:type="auto"/>
            <w:hideMark/>
          </w:tcPr>
          <w:p w14:paraId="2F91C8ED" w14:textId="243FC14F" w:rsidR="00547EA7" w:rsidRPr="007C60BA" w:rsidRDefault="00547EA7" w:rsidP="00547EA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C60BA">
              <w:rPr>
                <w:rFonts w:ascii="Times New Roman" w:hAnsi="Times New Roman" w:cs="Times New Roman"/>
              </w:rPr>
              <w:t>4-stock cluster (Bajaj Finance dominates), high operating margins but negative free cash flow increase</w:t>
            </w:r>
            <w:r w:rsidR="00181214">
              <w:rPr>
                <w:rFonts w:ascii="Times New Roman" w:hAnsi="Times New Roman" w:cs="Times New Roman"/>
              </w:rPr>
              <w:t>d</w:t>
            </w:r>
            <w:r w:rsidRPr="007C60BA">
              <w:rPr>
                <w:rFonts w:ascii="Times New Roman" w:hAnsi="Times New Roman" w:cs="Times New Roman"/>
              </w:rPr>
              <w:t xml:space="preserve"> risk.</w:t>
            </w:r>
          </w:p>
        </w:tc>
      </w:tr>
      <w:tr w:rsidR="00547EA7" w:rsidRPr="007C60BA" w14:paraId="429F25D6" w14:textId="77777777" w:rsidTr="009A48E4">
        <w:tc>
          <w:tcPr>
            <w:cnfStyle w:val="001000000000" w:firstRow="0" w:lastRow="0" w:firstColumn="1" w:lastColumn="0" w:oddVBand="0" w:evenVBand="0" w:oddHBand="0" w:evenHBand="0" w:firstRowFirstColumn="0" w:firstRowLastColumn="0" w:lastRowFirstColumn="0" w:lastRowLastColumn="0"/>
            <w:tcW w:w="0" w:type="auto"/>
            <w:hideMark/>
          </w:tcPr>
          <w:p w14:paraId="5AE2830A" w14:textId="77777777" w:rsidR="00547EA7" w:rsidRPr="007C60BA" w:rsidRDefault="00547EA7" w:rsidP="00547EA7">
            <w:pPr>
              <w:spacing w:after="160" w:line="278" w:lineRule="auto"/>
              <w:rPr>
                <w:rFonts w:ascii="Times New Roman" w:hAnsi="Times New Roman" w:cs="Times New Roman"/>
              </w:rPr>
            </w:pPr>
            <w:r w:rsidRPr="007C60BA">
              <w:rPr>
                <w:rFonts w:ascii="Times New Roman" w:hAnsi="Times New Roman" w:cs="Times New Roman"/>
              </w:rPr>
              <w:t>Cluster 0</w:t>
            </w:r>
          </w:p>
        </w:tc>
        <w:tc>
          <w:tcPr>
            <w:tcW w:w="0" w:type="auto"/>
            <w:hideMark/>
          </w:tcPr>
          <w:p w14:paraId="3ECA0813" w14:textId="77777777" w:rsidR="00547EA7" w:rsidRPr="007C60BA" w:rsidRDefault="00547EA7" w:rsidP="00547EA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60BA">
              <w:rPr>
                <w:rFonts w:ascii="Times New Roman" w:hAnsi="Times New Roman" w:cs="Times New Roman"/>
                <w:b/>
                <w:bCs/>
              </w:rPr>
              <w:t>-0.0726</w:t>
            </w:r>
          </w:p>
        </w:tc>
        <w:tc>
          <w:tcPr>
            <w:tcW w:w="0" w:type="auto"/>
            <w:hideMark/>
          </w:tcPr>
          <w:p w14:paraId="67A49AE4" w14:textId="77777777" w:rsidR="00547EA7" w:rsidRPr="007C60BA" w:rsidRDefault="00547EA7" w:rsidP="00547EA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60BA">
              <w:rPr>
                <w:rFonts w:ascii="Times New Roman" w:hAnsi="Times New Roman" w:cs="Times New Roman"/>
                <w:b/>
                <w:bCs/>
              </w:rPr>
              <w:t>Highest Risk</w:t>
            </w:r>
          </w:p>
        </w:tc>
        <w:tc>
          <w:tcPr>
            <w:tcW w:w="0" w:type="auto"/>
            <w:hideMark/>
          </w:tcPr>
          <w:p w14:paraId="30D6FC70" w14:textId="77777777" w:rsidR="00547EA7" w:rsidRPr="007C60BA" w:rsidRDefault="00547EA7" w:rsidP="00547EA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C60BA">
              <w:rPr>
                <w:rFonts w:ascii="Times New Roman" w:hAnsi="Times New Roman" w:cs="Times New Roman"/>
              </w:rPr>
              <w:t>Bandhan Bank dominates; weak fundamentals and high volatility lead to maximum downside risk.</w:t>
            </w:r>
          </w:p>
        </w:tc>
      </w:tr>
    </w:tbl>
    <w:p w14:paraId="67ABD16D" w14:textId="4A28D21D" w:rsidR="007C60BA" w:rsidRPr="007C60BA" w:rsidRDefault="007C60BA" w:rsidP="007C60BA">
      <w:pPr>
        <w:rPr>
          <w:rFonts w:ascii="Times New Roman" w:hAnsi="Times New Roman" w:cs="Times New Roman"/>
        </w:rPr>
      </w:pPr>
    </w:p>
    <w:p w14:paraId="458E2CD9" w14:textId="77777777" w:rsidR="007C60BA" w:rsidRPr="007C60BA" w:rsidRDefault="007C60BA" w:rsidP="007C60BA">
      <w:pPr>
        <w:rPr>
          <w:rFonts w:ascii="Times New Roman" w:hAnsi="Times New Roman" w:cs="Times New Roman"/>
          <w:b/>
          <w:bCs/>
        </w:rPr>
      </w:pPr>
      <w:r w:rsidRPr="007C60BA">
        <w:rPr>
          <w:rFonts w:ascii="Times New Roman" w:hAnsi="Times New Roman" w:cs="Times New Roman"/>
          <w:b/>
          <w:bCs/>
        </w:rPr>
        <w:t>Risk Implications for Portfolio Allocation:</w:t>
      </w:r>
    </w:p>
    <w:p w14:paraId="7A5B4A09" w14:textId="2A525D53" w:rsidR="007C60BA" w:rsidRPr="007C60BA" w:rsidRDefault="007C60BA" w:rsidP="007C60BA">
      <w:pPr>
        <w:numPr>
          <w:ilvl w:val="0"/>
          <w:numId w:val="21"/>
        </w:numPr>
        <w:rPr>
          <w:rFonts w:ascii="Times New Roman" w:hAnsi="Times New Roman" w:cs="Times New Roman"/>
        </w:rPr>
      </w:pPr>
      <w:r w:rsidRPr="007C60BA">
        <w:rPr>
          <w:rFonts w:ascii="Times New Roman" w:hAnsi="Times New Roman" w:cs="Times New Roman"/>
        </w:rPr>
        <w:t xml:space="preserve">Investors seeking low-risk, stable returns should </w:t>
      </w:r>
      <w:r w:rsidR="0017177E" w:rsidRPr="0017177E">
        <w:rPr>
          <w:rFonts w:ascii="Times New Roman" w:hAnsi="Times New Roman" w:cs="Times New Roman"/>
        </w:rPr>
        <w:t>favour</w:t>
      </w:r>
      <w:r w:rsidRPr="007C60BA">
        <w:rPr>
          <w:rFonts w:ascii="Times New Roman" w:hAnsi="Times New Roman" w:cs="Times New Roman"/>
        </w:rPr>
        <w:t xml:space="preserve"> Cluster 1.</w:t>
      </w:r>
    </w:p>
    <w:p w14:paraId="1B3426DE" w14:textId="77777777" w:rsidR="007C60BA" w:rsidRPr="007C60BA" w:rsidRDefault="007C60BA" w:rsidP="007C60BA">
      <w:pPr>
        <w:numPr>
          <w:ilvl w:val="0"/>
          <w:numId w:val="21"/>
        </w:numPr>
        <w:rPr>
          <w:rFonts w:ascii="Times New Roman" w:hAnsi="Times New Roman" w:cs="Times New Roman"/>
        </w:rPr>
      </w:pPr>
      <w:r w:rsidRPr="007C60BA">
        <w:rPr>
          <w:rFonts w:ascii="Times New Roman" w:hAnsi="Times New Roman" w:cs="Times New Roman"/>
        </w:rPr>
        <w:t>Moderate-risk seekers can consider Cluster 3 and Cluster 5.</w:t>
      </w:r>
    </w:p>
    <w:p w14:paraId="3AC3E632" w14:textId="77777777" w:rsidR="007C60BA" w:rsidRPr="007C60BA" w:rsidRDefault="007C60BA" w:rsidP="007C60BA">
      <w:pPr>
        <w:numPr>
          <w:ilvl w:val="0"/>
          <w:numId w:val="21"/>
        </w:numPr>
        <w:rPr>
          <w:rFonts w:ascii="Times New Roman" w:hAnsi="Times New Roman" w:cs="Times New Roman"/>
        </w:rPr>
      </w:pPr>
      <w:r w:rsidRPr="007C60BA">
        <w:rPr>
          <w:rFonts w:ascii="Times New Roman" w:hAnsi="Times New Roman" w:cs="Times New Roman"/>
        </w:rPr>
        <w:t>High-risk, high-reward portfolios may look at Clusters 2 and 4.</w:t>
      </w:r>
    </w:p>
    <w:p w14:paraId="0862D3F3" w14:textId="77777777" w:rsidR="007C60BA" w:rsidRDefault="007C60BA" w:rsidP="007C60BA">
      <w:pPr>
        <w:numPr>
          <w:ilvl w:val="0"/>
          <w:numId w:val="21"/>
        </w:numPr>
        <w:rPr>
          <w:rFonts w:ascii="Times New Roman" w:hAnsi="Times New Roman" w:cs="Times New Roman"/>
        </w:rPr>
      </w:pPr>
      <w:r w:rsidRPr="007C60BA">
        <w:rPr>
          <w:rFonts w:ascii="Times New Roman" w:hAnsi="Times New Roman" w:cs="Times New Roman"/>
        </w:rPr>
        <w:t>Cluster 0 should be avoided or allocated cautiously due to extreme risk exposure.</w:t>
      </w:r>
    </w:p>
    <w:p w14:paraId="249D614C" w14:textId="77777777" w:rsidR="00DD6AC6" w:rsidRDefault="00DD6AC6" w:rsidP="00DA6856">
      <w:pPr>
        <w:rPr>
          <w:rFonts w:ascii="Times New Roman" w:hAnsi="Times New Roman" w:cs="Times New Roman"/>
          <w:b/>
          <w:bCs/>
        </w:rPr>
      </w:pPr>
    </w:p>
    <w:p w14:paraId="58FAB88A" w14:textId="77777777" w:rsidR="00DD6AC6" w:rsidRDefault="00DD6AC6" w:rsidP="00DA6856">
      <w:pPr>
        <w:rPr>
          <w:rFonts w:ascii="Times New Roman" w:hAnsi="Times New Roman" w:cs="Times New Roman"/>
          <w:b/>
          <w:bCs/>
        </w:rPr>
      </w:pPr>
    </w:p>
    <w:p w14:paraId="2E1FB083" w14:textId="77777777" w:rsidR="00DD6AC6" w:rsidRDefault="00DD6AC6" w:rsidP="00DA6856">
      <w:pPr>
        <w:rPr>
          <w:rFonts w:ascii="Times New Roman" w:hAnsi="Times New Roman" w:cs="Times New Roman"/>
          <w:b/>
          <w:bCs/>
        </w:rPr>
      </w:pPr>
    </w:p>
    <w:p w14:paraId="328484AA" w14:textId="25865961" w:rsidR="002B79F1" w:rsidRPr="00BF0C80" w:rsidRDefault="00DA6856" w:rsidP="00DA6856">
      <w:pPr>
        <w:rPr>
          <w:rFonts w:ascii="Times New Roman" w:hAnsi="Times New Roman" w:cs="Times New Roman"/>
          <w:b/>
          <w:bCs/>
          <w:sz w:val="28"/>
          <w:szCs w:val="28"/>
        </w:rPr>
      </w:pPr>
      <w:r w:rsidRPr="00BF0C80">
        <w:rPr>
          <w:rFonts w:ascii="Times New Roman" w:hAnsi="Times New Roman" w:cs="Times New Roman"/>
          <w:b/>
          <w:bCs/>
          <w:sz w:val="28"/>
          <w:szCs w:val="28"/>
        </w:rPr>
        <w:t>7.</w:t>
      </w:r>
      <w:r w:rsidR="002B79F1" w:rsidRPr="00BF0C80">
        <w:rPr>
          <w:rFonts w:ascii="Times New Roman" w:hAnsi="Times New Roman" w:cs="Times New Roman"/>
          <w:b/>
          <w:bCs/>
          <w:sz w:val="28"/>
          <w:szCs w:val="28"/>
        </w:rPr>
        <w:t>Cumulative Return Insights &amp; Risk Implications</w:t>
      </w:r>
    </w:p>
    <w:p w14:paraId="20E23E4F" w14:textId="77777777" w:rsidR="002B79F1" w:rsidRPr="0077642B" w:rsidRDefault="002B79F1" w:rsidP="002B79F1">
      <w:pPr>
        <w:numPr>
          <w:ilvl w:val="0"/>
          <w:numId w:val="22"/>
        </w:numPr>
        <w:rPr>
          <w:rFonts w:ascii="Times New Roman" w:hAnsi="Times New Roman" w:cs="Times New Roman"/>
          <w:b/>
          <w:bCs/>
          <w:color w:val="000000" w:themeColor="text1"/>
        </w:rPr>
      </w:pPr>
      <w:r w:rsidRPr="0077642B">
        <w:rPr>
          <w:rFonts w:ascii="Times New Roman" w:hAnsi="Times New Roman" w:cs="Times New Roman"/>
          <w:b/>
          <w:bCs/>
          <w:color w:val="000000" w:themeColor="text1"/>
        </w:rPr>
        <w:t>Best Cumulative Performers</w:t>
      </w:r>
    </w:p>
    <w:p w14:paraId="227D1A4B" w14:textId="77777777" w:rsidR="002B79F1" w:rsidRPr="002B79F1" w:rsidRDefault="002B79F1" w:rsidP="002B79F1">
      <w:pPr>
        <w:numPr>
          <w:ilvl w:val="1"/>
          <w:numId w:val="22"/>
        </w:numPr>
        <w:rPr>
          <w:rFonts w:ascii="Times New Roman" w:hAnsi="Times New Roman" w:cs="Times New Roman"/>
        </w:rPr>
      </w:pPr>
      <w:r w:rsidRPr="002B79F1">
        <w:rPr>
          <w:rFonts w:ascii="Times New Roman" w:hAnsi="Times New Roman" w:cs="Times New Roman"/>
        </w:rPr>
        <w:t>Cluster 3 (69.46%) and Cluster 4 (65.12%) outperformed the NIFTY 200 index (48.75%).</w:t>
      </w:r>
    </w:p>
    <w:p w14:paraId="34666E90" w14:textId="77777777" w:rsidR="002B79F1" w:rsidRPr="002B79F1" w:rsidRDefault="002B79F1" w:rsidP="002B79F1">
      <w:pPr>
        <w:numPr>
          <w:ilvl w:val="1"/>
          <w:numId w:val="22"/>
        </w:numPr>
        <w:rPr>
          <w:rFonts w:ascii="Times New Roman" w:hAnsi="Times New Roman" w:cs="Times New Roman"/>
        </w:rPr>
      </w:pPr>
      <w:r w:rsidRPr="002B79F1">
        <w:rPr>
          <w:rFonts w:ascii="Times New Roman" w:hAnsi="Times New Roman" w:cs="Times New Roman"/>
        </w:rPr>
        <w:t>Cluster 3’s single-stock exposure (ICICI Bank) makes it riskier but highly profitable.</w:t>
      </w:r>
    </w:p>
    <w:p w14:paraId="58AC5072" w14:textId="77777777" w:rsidR="002B79F1" w:rsidRPr="002B79F1" w:rsidRDefault="002B79F1" w:rsidP="002B79F1">
      <w:pPr>
        <w:numPr>
          <w:ilvl w:val="1"/>
          <w:numId w:val="22"/>
        </w:numPr>
        <w:rPr>
          <w:rFonts w:ascii="Times New Roman" w:hAnsi="Times New Roman" w:cs="Times New Roman"/>
        </w:rPr>
      </w:pPr>
      <w:r w:rsidRPr="002B79F1">
        <w:rPr>
          <w:rFonts w:ascii="Times New Roman" w:hAnsi="Times New Roman" w:cs="Times New Roman"/>
        </w:rPr>
        <w:t>Cluster 4’s portfolio (M&amp;M Finance and similar stocks) has high volatility but strong returns.</w:t>
      </w:r>
    </w:p>
    <w:p w14:paraId="6596FFDA" w14:textId="77777777" w:rsidR="002B79F1" w:rsidRPr="0077642B" w:rsidRDefault="002B79F1" w:rsidP="002B79F1">
      <w:pPr>
        <w:numPr>
          <w:ilvl w:val="0"/>
          <w:numId w:val="22"/>
        </w:numPr>
        <w:rPr>
          <w:rFonts w:ascii="Times New Roman" w:hAnsi="Times New Roman" w:cs="Times New Roman"/>
          <w:b/>
          <w:bCs/>
          <w:color w:val="000000" w:themeColor="text1"/>
        </w:rPr>
      </w:pPr>
      <w:r w:rsidRPr="0077642B">
        <w:rPr>
          <w:rFonts w:ascii="Times New Roman" w:hAnsi="Times New Roman" w:cs="Times New Roman"/>
          <w:b/>
          <w:bCs/>
          <w:color w:val="000000" w:themeColor="text1"/>
        </w:rPr>
        <w:t>Moderate to Strong Performers</w:t>
      </w:r>
    </w:p>
    <w:p w14:paraId="6CE23140" w14:textId="77777777" w:rsidR="002B79F1" w:rsidRPr="002B79F1" w:rsidRDefault="002B79F1" w:rsidP="002B79F1">
      <w:pPr>
        <w:numPr>
          <w:ilvl w:val="1"/>
          <w:numId w:val="22"/>
        </w:numPr>
        <w:rPr>
          <w:rFonts w:ascii="Times New Roman" w:hAnsi="Times New Roman" w:cs="Times New Roman"/>
        </w:rPr>
      </w:pPr>
      <w:r w:rsidRPr="002B79F1">
        <w:rPr>
          <w:rFonts w:ascii="Times New Roman" w:hAnsi="Times New Roman" w:cs="Times New Roman"/>
        </w:rPr>
        <w:t>Cluster 1 (55.36%) surpassed NIFTY 200, indicating well-balanced portfolio performance.</w:t>
      </w:r>
    </w:p>
    <w:p w14:paraId="3C884309" w14:textId="77777777" w:rsidR="002B79F1" w:rsidRPr="002B79F1" w:rsidRDefault="002B79F1" w:rsidP="002B79F1">
      <w:pPr>
        <w:numPr>
          <w:ilvl w:val="1"/>
          <w:numId w:val="22"/>
        </w:numPr>
        <w:rPr>
          <w:rFonts w:ascii="Times New Roman" w:hAnsi="Times New Roman" w:cs="Times New Roman"/>
        </w:rPr>
      </w:pPr>
      <w:r w:rsidRPr="002B79F1">
        <w:rPr>
          <w:rFonts w:ascii="Times New Roman" w:hAnsi="Times New Roman" w:cs="Times New Roman"/>
        </w:rPr>
        <w:t>Cluster 2 (43.96%) is slightly below NIFTY 200 but shows resilience despite weak risk-adjusted returns.</w:t>
      </w:r>
    </w:p>
    <w:p w14:paraId="52808191" w14:textId="77777777" w:rsidR="002B79F1" w:rsidRPr="0077642B" w:rsidRDefault="002B79F1" w:rsidP="002B79F1">
      <w:pPr>
        <w:numPr>
          <w:ilvl w:val="0"/>
          <w:numId w:val="22"/>
        </w:numPr>
        <w:rPr>
          <w:rFonts w:ascii="Times New Roman" w:hAnsi="Times New Roman" w:cs="Times New Roman"/>
          <w:b/>
          <w:bCs/>
          <w:color w:val="000000" w:themeColor="text1"/>
        </w:rPr>
      </w:pPr>
      <w:r w:rsidRPr="0077642B">
        <w:rPr>
          <w:rFonts w:ascii="Times New Roman" w:hAnsi="Times New Roman" w:cs="Times New Roman"/>
          <w:b/>
          <w:bCs/>
          <w:color w:val="000000" w:themeColor="text1"/>
        </w:rPr>
        <w:t>Underperformers</w:t>
      </w:r>
    </w:p>
    <w:p w14:paraId="26F77497" w14:textId="77777777" w:rsidR="002B79F1" w:rsidRPr="002B79F1" w:rsidRDefault="002B79F1" w:rsidP="002B79F1">
      <w:pPr>
        <w:numPr>
          <w:ilvl w:val="1"/>
          <w:numId w:val="22"/>
        </w:numPr>
        <w:rPr>
          <w:rFonts w:ascii="Times New Roman" w:hAnsi="Times New Roman" w:cs="Times New Roman"/>
        </w:rPr>
      </w:pPr>
      <w:r w:rsidRPr="002B79F1">
        <w:rPr>
          <w:rFonts w:ascii="Times New Roman" w:hAnsi="Times New Roman" w:cs="Times New Roman"/>
        </w:rPr>
        <w:t>Cluster 5 (21.61%) struggled with poor financial characteristics, despite not losing money.</w:t>
      </w:r>
    </w:p>
    <w:p w14:paraId="7E408152" w14:textId="77777777" w:rsidR="002B79F1" w:rsidRPr="002B79F1" w:rsidRDefault="002B79F1" w:rsidP="002B79F1">
      <w:pPr>
        <w:numPr>
          <w:ilvl w:val="1"/>
          <w:numId w:val="22"/>
        </w:numPr>
        <w:rPr>
          <w:rFonts w:ascii="Times New Roman" w:hAnsi="Times New Roman" w:cs="Times New Roman"/>
        </w:rPr>
      </w:pPr>
      <w:r w:rsidRPr="002B79F1">
        <w:rPr>
          <w:rFonts w:ascii="Times New Roman" w:hAnsi="Times New Roman" w:cs="Times New Roman"/>
        </w:rPr>
        <w:t>Cluster 0 (-41.67%) suffered major losses, showing extreme risk exposure and inefficiency.</w:t>
      </w:r>
    </w:p>
    <w:p w14:paraId="5D76CDD5" w14:textId="77777777" w:rsidR="002B79F1" w:rsidRPr="002B79F1" w:rsidRDefault="002B79F1" w:rsidP="002B79F1">
      <w:pPr>
        <w:rPr>
          <w:rFonts w:ascii="Times New Roman" w:hAnsi="Times New Roman" w:cs="Times New Roman"/>
        </w:rPr>
      </w:pPr>
    </w:p>
    <w:p w14:paraId="21267B7B" w14:textId="77777777" w:rsidR="006A26C4" w:rsidRDefault="006A26C4" w:rsidP="00C90E28">
      <w:pPr>
        <w:rPr>
          <w:rFonts w:ascii="Times New Roman" w:hAnsi="Times New Roman" w:cs="Times New Roman"/>
          <w:b/>
          <w:bCs/>
          <w:sz w:val="40"/>
          <w:szCs w:val="40"/>
        </w:rPr>
      </w:pPr>
    </w:p>
    <w:p w14:paraId="09A40744" w14:textId="77777777" w:rsidR="00426436" w:rsidRDefault="00426436" w:rsidP="00ED37EB">
      <w:pPr>
        <w:jc w:val="center"/>
        <w:rPr>
          <w:rFonts w:ascii="Times New Roman" w:hAnsi="Times New Roman" w:cs="Times New Roman"/>
          <w:b/>
          <w:bCs/>
          <w:sz w:val="40"/>
          <w:szCs w:val="40"/>
        </w:rPr>
      </w:pPr>
    </w:p>
    <w:p w14:paraId="3B5C52F4" w14:textId="77777777" w:rsidR="00426436" w:rsidRDefault="00426436" w:rsidP="00ED37EB">
      <w:pPr>
        <w:jc w:val="center"/>
        <w:rPr>
          <w:rFonts w:ascii="Times New Roman" w:hAnsi="Times New Roman" w:cs="Times New Roman"/>
          <w:b/>
          <w:bCs/>
          <w:sz w:val="40"/>
          <w:szCs w:val="40"/>
        </w:rPr>
      </w:pPr>
    </w:p>
    <w:p w14:paraId="4379287E" w14:textId="77777777" w:rsidR="00426436" w:rsidRDefault="00426436" w:rsidP="00ED37EB">
      <w:pPr>
        <w:jc w:val="center"/>
        <w:rPr>
          <w:rFonts w:ascii="Times New Roman" w:hAnsi="Times New Roman" w:cs="Times New Roman"/>
          <w:b/>
          <w:bCs/>
          <w:sz w:val="40"/>
          <w:szCs w:val="40"/>
        </w:rPr>
      </w:pPr>
    </w:p>
    <w:p w14:paraId="72885383" w14:textId="77777777" w:rsidR="00426436" w:rsidRDefault="00426436" w:rsidP="00ED37EB">
      <w:pPr>
        <w:jc w:val="center"/>
        <w:rPr>
          <w:rFonts w:ascii="Times New Roman" w:hAnsi="Times New Roman" w:cs="Times New Roman"/>
          <w:b/>
          <w:bCs/>
          <w:sz w:val="40"/>
          <w:szCs w:val="40"/>
        </w:rPr>
      </w:pPr>
    </w:p>
    <w:p w14:paraId="4AC381F2" w14:textId="77777777" w:rsidR="00426436" w:rsidRDefault="00426436" w:rsidP="00ED37EB">
      <w:pPr>
        <w:jc w:val="center"/>
        <w:rPr>
          <w:rFonts w:ascii="Times New Roman" w:hAnsi="Times New Roman" w:cs="Times New Roman"/>
          <w:b/>
          <w:bCs/>
          <w:sz w:val="40"/>
          <w:szCs w:val="40"/>
        </w:rPr>
      </w:pPr>
    </w:p>
    <w:p w14:paraId="0DED1CB9" w14:textId="77777777" w:rsidR="00426436" w:rsidRDefault="00426436" w:rsidP="00ED37EB">
      <w:pPr>
        <w:jc w:val="center"/>
        <w:rPr>
          <w:rFonts w:ascii="Times New Roman" w:hAnsi="Times New Roman" w:cs="Times New Roman"/>
          <w:b/>
          <w:bCs/>
          <w:sz w:val="40"/>
          <w:szCs w:val="40"/>
        </w:rPr>
      </w:pPr>
    </w:p>
    <w:p w14:paraId="2637C0B2" w14:textId="77777777" w:rsidR="00BF0C80" w:rsidRDefault="00BF0C80" w:rsidP="00BF0C80">
      <w:pPr>
        <w:rPr>
          <w:rFonts w:ascii="Times New Roman" w:hAnsi="Times New Roman" w:cs="Times New Roman"/>
          <w:b/>
          <w:bCs/>
          <w:sz w:val="40"/>
          <w:szCs w:val="40"/>
        </w:rPr>
      </w:pPr>
    </w:p>
    <w:p w14:paraId="15E6EA72" w14:textId="15E5A6AC" w:rsidR="0017177E" w:rsidRPr="007C60BA" w:rsidRDefault="0017177E" w:rsidP="00BF0C80">
      <w:pPr>
        <w:jc w:val="center"/>
        <w:rPr>
          <w:rFonts w:ascii="Times New Roman" w:hAnsi="Times New Roman" w:cs="Times New Roman"/>
          <w:b/>
          <w:bCs/>
          <w:sz w:val="40"/>
          <w:szCs w:val="40"/>
        </w:rPr>
      </w:pPr>
      <w:r w:rsidRPr="00C90E28">
        <w:rPr>
          <w:rFonts w:ascii="Times New Roman" w:hAnsi="Times New Roman" w:cs="Times New Roman"/>
          <w:b/>
          <w:bCs/>
          <w:sz w:val="40"/>
          <w:szCs w:val="40"/>
        </w:rPr>
        <w:lastRenderedPageBreak/>
        <w:t>APPENDIX</w:t>
      </w:r>
    </w:p>
    <w:p w14:paraId="592DC161" w14:textId="77777777" w:rsidR="0060233C" w:rsidRDefault="00D46C5F" w:rsidP="00ED37EB">
      <w:pPr>
        <w:jc w:val="center"/>
        <w:rPr>
          <w:rFonts w:ascii="Times New Roman" w:hAnsi="Times New Roman" w:cs="Times New Roman"/>
        </w:rPr>
      </w:pPr>
      <w:r>
        <w:rPr>
          <w:rFonts w:ascii="Times New Roman" w:hAnsi="Times New Roman" w:cs="Times New Roman"/>
          <w:b/>
          <w:bCs/>
          <w:noProof/>
        </w:rPr>
        <w:drawing>
          <wp:inline distT="0" distB="0" distL="0" distR="0" wp14:anchorId="5FE65757" wp14:editId="2A8569D8">
            <wp:extent cx="5583089" cy="2893625"/>
            <wp:effectExtent l="38100" t="38100" r="36830" b="40640"/>
            <wp:docPr id="1076151313" name="Picture 2"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51313" name="Picture 2" descr="A graph with numbers and lines&#10;&#10;AI-generated content may be incorrect."/>
                    <pic:cNvPicPr/>
                  </pic:nvPicPr>
                  <pic:blipFill rotWithShape="1">
                    <a:blip r:embed="rId5">
                      <a:extLst>
                        <a:ext uri="{28A0092B-C50C-407E-A947-70E740481C1C}">
                          <a14:useLocalDpi xmlns:a14="http://schemas.microsoft.com/office/drawing/2010/main" val="0"/>
                        </a:ext>
                      </a:extLst>
                    </a:blip>
                    <a:srcRect l="1610" t="24379" r="2485" b="3105"/>
                    <a:stretch/>
                  </pic:blipFill>
                  <pic:spPr bwMode="auto">
                    <a:xfrm>
                      <a:off x="0" y="0"/>
                      <a:ext cx="5600253" cy="2902521"/>
                    </a:xfrm>
                    <a:prstGeom prst="rect">
                      <a:avLst/>
                    </a:prstGeom>
                    <a:ln w="38100">
                      <a:solidFill>
                        <a:schemeClr val="tx1"/>
                      </a:solidFill>
                    </a:ln>
                    <a:extLst>
                      <a:ext uri="{53640926-AAD7-44D8-BBD7-CCE9431645EC}">
                        <a14:shadowObscured xmlns:a14="http://schemas.microsoft.com/office/drawing/2010/main"/>
                      </a:ext>
                    </a:extLst>
                  </pic:spPr>
                </pic:pic>
              </a:graphicData>
            </a:graphic>
          </wp:inline>
        </w:drawing>
      </w:r>
    </w:p>
    <w:p w14:paraId="51604274" w14:textId="77777777" w:rsidR="0060233C" w:rsidRDefault="0060233C" w:rsidP="00ED37EB">
      <w:pPr>
        <w:jc w:val="center"/>
        <w:rPr>
          <w:rFonts w:ascii="Times New Roman" w:hAnsi="Times New Roman" w:cs="Times New Roman"/>
        </w:rPr>
      </w:pPr>
    </w:p>
    <w:p w14:paraId="131AE5E0" w14:textId="4B608878" w:rsidR="003E0533" w:rsidRDefault="00ED37EB" w:rsidP="00ED37EB">
      <w:pPr>
        <w:jc w:val="center"/>
        <w:rPr>
          <w:rFonts w:ascii="Times New Roman" w:hAnsi="Times New Roman" w:cs="Times New Roman"/>
        </w:rPr>
      </w:pPr>
      <w:r>
        <w:rPr>
          <w:rFonts w:ascii="Times New Roman" w:hAnsi="Times New Roman" w:cs="Times New Roman"/>
          <w:noProof/>
        </w:rPr>
        <w:drawing>
          <wp:inline distT="0" distB="0" distL="0" distR="0" wp14:anchorId="5FE8E150" wp14:editId="409C7AAB">
            <wp:extent cx="5594180" cy="2734811"/>
            <wp:effectExtent l="38100" t="38100" r="45085" b="46990"/>
            <wp:docPr id="586978830"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78830" name="Picture 1" descr="A screenshot of a graph"/>
                    <pic:cNvPicPr/>
                  </pic:nvPicPr>
                  <pic:blipFill rotWithShape="1">
                    <a:blip r:embed="rId6">
                      <a:extLst>
                        <a:ext uri="{28A0092B-C50C-407E-A947-70E740481C1C}">
                          <a14:useLocalDpi xmlns:a14="http://schemas.microsoft.com/office/drawing/2010/main" val="0"/>
                        </a:ext>
                      </a:extLst>
                    </a:blip>
                    <a:srcRect l="1017" t="3915" r="2034" b="4892"/>
                    <a:stretch/>
                  </pic:blipFill>
                  <pic:spPr bwMode="auto">
                    <a:xfrm>
                      <a:off x="0" y="0"/>
                      <a:ext cx="5596780" cy="2736082"/>
                    </a:xfrm>
                    <a:prstGeom prst="rect">
                      <a:avLst/>
                    </a:prstGeom>
                    <a:ln w="38100">
                      <a:solidFill>
                        <a:schemeClr val="tx1"/>
                      </a:solidFill>
                    </a:ln>
                    <a:extLst>
                      <a:ext uri="{53640926-AAD7-44D8-BBD7-CCE9431645EC}">
                        <a14:shadowObscured xmlns:a14="http://schemas.microsoft.com/office/drawing/2010/main"/>
                      </a:ext>
                    </a:extLst>
                  </pic:spPr>
                </pic:pic>
              </a:graphicData>
            </a:graphic>
          </wp:inline>
        </w:drawing>
      </w:r>
    </w:p>
    <w:p w14:paraId="0BEE33C8" w14:textId="77777777" w:rsidR="00583527" w:rsidRDefault="00583527" w:rsidP="008D1BA5">
      <w:pPr>
        <w:jc w:val="center"/>
        <w:rPr>
          <w:rFonts w:ascii="Times New Roman" w:hAnsi="Times New Roman" w:cs="Times New Roman"/>
          <w:b/>
          <w:bCs/>
        </w:rPr>
      </w:pPr>
    </w:p>
    <w:p w14:paraId="18C12EC1" w14:textId="77777777" w:rsidR="00583527" w:rsidRDefault="00583527" w:rsidP="008D1BA5">
      <w:pPr>
        <w:jc w:val="center"/>
        <w:rPr>
          <w:rFonts w:ascii="Times New Roman" w:hAnsi="Times New Roman" w:cs="Times New Roman"/>
          <w:b/>
          <w:bCs/>
        </w:rPr>
      </w:pPr>
    </w:p>
    <w:p w14:paraId="0A7ED100" w14:textId="77777777" w:rsidR="00583527" w:rsidRDefault="00583527" w:rsidP="008D1BA5">
      <w:pPr>
        <w:jc w:val="center"/>
        <w:rPr>
          <w:rFonts w:ascii="Times New Roman" w:hAnsi="Times New Roman" w:cs="Times New Roman"/>
          <w:b/>
          <w:bCs/>
        </w:rPr>
      </w:pPr>
    </w:p>
    <w:p w14:paraId="1FF085B1" w14:textId="77777777" w:rsidR="00583527" w:rsidRDefault="00583527" w:rsidP="008D1BA5">
      <w:pPr>
        <w:jc w:val="center"/>
        <w:rPr>
          <w:rFonts w:ascii="Times New Roman" w:hAnsi="Times New Roman" w:cs="Times New Roman"/>
          <w:b/>
          <w:bCs/>
        </w:rPr>
      </w:pPr>
    </w:p>
    <w:p w14:paraId="2C9EDDD2" w14:textId="77777777" w:rsidR="00583527" w:rsidRDefault="00583527" w:rsidP="008D1BA5">
      <w:pPr>
        <w:jc w:val="center"/>
        <w:rPr>
          <w:rFonts w:ascii="Times New Roman" w:hAnsi="Times New Roman" w:cs="Times New Roman"/>
          <w:b/>
          <w:bCs/>
        </w:rPr>
      </w:pPr>
    </w:p>
    <w:p w14:paraId="3EC12643" w14:textId="77777777" w:rsidR="00583527" w:rsidRDefault="00583527" w:rsidP="008D1BA5">
      <w:pPr>
        <w:jc w:val="center"/>
        <w:rPr>
          <w:rFonts w:ascii="Times New Roman" w:hAnsi="Times New Roman" w:cs="Times New Roman"/>
          <w:b/>
          <w:bCs/>
        </w:rPr>
      </w:pPr>
    </w:p>
    <w:p w14:paraId="691E9CC4" w14:textId="77777777" w:rsidR="004B3B1E" w:rsidRDefault="004B3B1E" w:rsidP="004B3B1E">
      <w:pPr>
        <w:rPr>
          <w:rFonts w:ascii="Times New Roman" w:hAnsi="Times New Roman" w:cs="Times New Roman"/>
          <w:b/>
          <w:bCs/>
        </w:rPr>
      </w:pPr>
    </w:p>
    <w:p w14:paraId="0F461DAB" w14:textId="6268CA1D" w:rsidR="008D1BA5" w:rsidRPr="008D1BA5" w:rsidRDefault="008D1BA5" w:rsidP="004B3B1E">
      <w:pPr>
        <w:jc w:val="center"/>
        <w:rPr>
          <w:rFonts w:ascii="Times New Roman" w:hAnsi="Times New Roman" w:cs="Times New Roman"/>
          <w:b/>
          <w:bCs/>
        </w:rPr>
      </w:pPr>
      <w:r w:rsidRPr="008D1BA5">
        <w:rPr>
          <w:rFonts w:ascii="Times New Roman" w:hAnsi="Times New Roman" w:cs="Times New Roman"/>
          <w:b/>
          <w:bCs/>
        </w:rPr>
        <w:lastRenderedPageBreak/>
        <w:t>1. Financial Indicators (Cluster-wise Averages)</w:t>
      </w:r>
    </w:p>
    <w:tbl>
      <w:tblPr>
        <w:tblStyle w:val="TableGrid"/>
        <w:tblW w:w="0" w:type="auto"/>
        <w:tblLook w:val="04A0" w:firstRow="1" w:lastRow="0" w:firstColumn="1" w:lastColumn="0" w:noHBand="0" w:noVBand="1"/>
      </w:tblPr>
      <w:tblGrid>
        <w:gridCol w:w="850"/>
        <w:gridCol w:w="774"/>
        <w:gridCol w:w="827"/>
        <w:gridCol w:w="780"/>
        <w:gridCol w:w="1434"/>
        <w:gridCol w:w="1061"/>
        <w:gridCol w:w="935"/>
        <w:gridCol w:w="1094"/>
        <w:gridCol w:w="1261"/>
      </w:tblGrid>
      <w:tr w:rsidR="008D1BA5" w:rsidRPr="008D1BA5" w14:paraId="64835ACE" w14:textId="77777777" w:rsidTr="00583527">
        <w:tc>
          <w:tcPr>
            <w:tcW w:w="0" w:type="auto"/>
            <w:hideMark/>
          </w:tcPr>
          <w:p w14:paraId="0FECF1E1" w14:textId="77777777" w:rsidR="008D1BA5" w:rsidRPr="008D1BA5" w:rsidRDefault="008D1BA5" w:rsidP="008D1BA5">
            <w:pPr>
              <w:spacing w:after="160" w:line="278" w:lineRule="auto"/>
              <w:jc w:val="center"/>
              <w:rPr>
                <w:rFonts w:ascii="Times New Roman" w:hAnsi="Times New Roman" w:cs="Times New Roman"/>
                <w:b/>
                <w:bCs/>
                <w:sz w:val="20"/>
                <w:szCs w:val="20"/>
              </w:rPr>
            </w:pPr>
            <w:r w:rsidRPr="008D1BA5">
              <w:rPr>
                <w:rFonts w:ascii="Times New Roman" w:hAnsi="Times New Roman" w:cs="Times New Roman"/>
                <w:b/>
                <w:bCs/>
                <w:sz w:val="20"/>
                <w:szCs w:val="20"/>
              </w:rPr>
              <w:t>Cluster</w:t>
            </w:r>
          </w:p>
        </w:tc>
        <w:tc>
          <w:tcPr>
            <w:tcW w:w="0" w:type="auto"/>
            <w:hideMark/>
          </w:tcPr>
          <w:p w14:paraId="10080687" w14:textId="77777777" w:rsidR="008D1BA5" w:rsidRPr="008D1BA5" w:rsidRDefault="008D1BA5" w:rsidP="008D1BA5">
            <w:pPr>
              <w:spacing w:after="160" w:line="278" w:lineRule="auto"/>
              <w:jc w:val="center"/>
              <w:rPr>
                <w:rFonts w:ascii="Times New Roman" w:hAnsi="Times New Roman" w:cs="Times New Roman"/>
                <w:b/>
                <w:bCs/>
                <w:sz w:val="20"/>
                <w:szCs w:val="20"/>
              </w:rPr>
            </w:pPr>
            <w:r w:rsidRPr="008D1BA5">
              <w:rPr>
                <w:rFonts w:ascii="Times New Roman" w:hAnsi="Times New Roman" w:cs="Times New Roman"/>
                <w:b/>
                <w:bCs/>
                <w:sz w:val="20"/>
                <w:szCs w:val="20"/>
              </w:rPr>
              <w:t>ROE %</w:t>
            </w:r>
          </w:p>
        </w:tc>
        <w:tc>
          <w:tcPr>
            <w:tcW w:w="0" w:type="auto"/>
            <w:hideMark/>
          </w:tcPr>
          <w:p w14:paraId="1EEF2EF4" w14:textId="77777777" w:rsidR="008D1BA5" w:rsidRPr="008D1BA5" w:rsidRDefault="008D1BA5" w:rsidP="008D1BA5">
            <w:pPr>
              <w:spacing w:after="160" w:line="278" w:lineRule="auto"/>
              <w:jc w:val="center"/>
              <w:rPr>
                <w:rFonts w:ascii="Times New Roman" w:hAnsi="Times New Roman" w:cs="Times New Roman"/>
                <w:b/>
                <w:bCs/>
                <w:sz w:val="20"/>
                <w:szCs w:val="20"/>
              </w:rPr>
            </w:pPr>
            <w:r w:rsidRPr="008D1BA5">
              <w:rPr>
                <w:rFonts w:ascii="Times New Roman" w:hAnsi="Times New Roman" w:cs="Times New Roman"/>
                <w:b/>
                <w:bCs/>
                <w:sz w:val="20"/>
                <w:szCs w:val="20"/>
              </w:rPr>
              <w:t>ROCE %</w:t>
            </w:r>
          </w:p>
        </w:tc>
        <w:tc>
          <w:tcPr>
            <w:tcW w:w="0" w:type="auto"/>
            <w:hideMark/>
          </w:tcPr>
          <w:p w14:paraId="58E90C2C" w14:textId="77777777" w:rsidR="008D1BA5" w:rsidRPr="008D1BA5" w:rsidRDefault="008D1BA5" w:rsidP="008D1BA5">
            <w:pPr>
              <w:spacing w:after="160" w:line="278" w:lineRule="auto"/>
              <w:jc w:val="center"/>
              <w:rPr>
                <w:rFonts w:ascii="Times New Roman" w:hAnsi="Times New Roman" w:cs="Times New Roman"/>
                <w:b/>
                <w:bCs/>
                <w:sz w:val="20"/>
                <w:szCs w:val="20"/>
              </w:rPr>
            </w:pPr>
            <w:r w:rsidRPr="008D1BA5">
              <w:rPr>
                <w:rFonts w:ascii="Times New Roman" w:hAnsi="Times New Roman" w:cs="Times New Roman"/>
                <w:b/>
                <w:bCs/>
                <w:sz w:val="20"/>
                <w:szCs w:val="20"/>
              </w:rPr>
              <w:t>OPM %</w:t>
            </w:r>
          </w:p>
        </w:tc>
        <w:tc>
          <w:tcPr>
            <w:tcW w:w="0" w:type="auto"/>
            <w:hideMark/>
          </w:tcPr>
          <w:p w14:paraId="7F84E366" w14:textId="77777777" w:rsidR="008D1BA5" w:rsidRPr="008D1BA5" w:rsidRDefault="008D1BA5" w:rsidP="008D1BA5">
            <w:pPr>
              <w:spacing w:after="160" w:line="278" w:lineRule="auto"/>
              <w:jc w:val="center"/>
              <w:rPr>
                <w:rFonts w:ascii="Times New Roman" w:hAnsi="Times New Roman" w:cs="Times New Roman"/>
                <w:b/>
                <w:bCs/>
                <w:sz w:val="20"/>
                <w:szCs w:val="20"/>
              </w:rPr>
            </w:pPr>
            <w:r w:rsidRPr="008D1BA5">
              <w:rPr>
                <w:rFonts w:ascii="Times New Roman" w:hAnsi="Times New Roman" w:cs="Times New Roman"/>
                <w:b/>
                <w:bCs/>
                <w:sz w:val="20"/>
                <w:szCs w:val="20"/>
              </w:rPr>
              <w:t>Free Cash Flow (Rs. Cr.)</w:t>
            </w:r>
          </w:p>
        </w:tc>
        <w:tc>
          <w:tcPr>
            <w:tcW w:w="0" w:type="auto"/>
            <w:hideMark/>
          </w:tcPr>
          <w:p w14:paraId="2814C415" w14:textId="77777777" w:rsidR="008D1BA5" w:rsidRPr="008D1BA5" w:rsidRDefault="008D1BA5" w:rsidP="008D1BA5">
            <w:pPr>
              <w:spacing w:after="160" w:line="278" w:lineRule="auto"/>
              <w:jc w:val="center"/>
              <w:rPr>
                <w:rFonts w:ascii="Times New Roman" w:hAnsi="Times New Roman" w:cs="Times New Roman"/>
                <w:b/>
                <w:bCs/>
                <w:sz w:val="20"/>
                <w:szCs w:val="20"/>
              </w:rPr>
            </w:pPr>
            <w:r w:rsidRPr="008D1BA5">
              <w:rPr>
                <w:rFonts w:ascii="Times New Roman" w:hAnsi="Times New Roman" w:cs="Times New Roman"/>
                <w:b/>
                <w:bCs/>
                <w:sz w:val="20"/>
                <w:szCs w:val="20"/>
              </w:rPr>
              <w:t>Piotroski Score</w:t>
            </w:r>
          </w:p>
        </w:tc>
        <w:tc>
          <w:tcPr>
            <w:tcW w:w="0" w:type="auto"/>
            <w:hideMark/>
          </w:tcPr>
          <w:p w14:paraId="3FB30F34" w14:textId="77777777" w:rsidR="008D1BA5" w:rsidRPr="008D1BA5" w:rsidRDefault="008D1BA5" w:rsidP="008D1BA5">
            <w:pPr>
              <w:spacing w:after="160" w:line="278" w:lineRule="auto"/>
              <w:jc w:val="center"/>
              <w:rPr>
                <w:rFonts w:ascii="Times New Roman" w:hAnsi="Times New Roman" w:cs="Times New Roman"/>
                <w:b/>
                <w:bCs/>
                <w:sz w:val="20"/>
                <w:szCs w:val="20"/>
              </w:rPr>
            </w:pPr>
            <w:r w:rsidRPr="008D1BA5">
              <w:rPr>
                <w:rFonts w:ascii="Times New Roman" w:hAnsi="Times New Roman" w:cs="Times New Roman"/>
                <w:b/>
                <w:bCs/>
                <w:sz w:val="20"/>
                <w:szCs w:val="20"/>
              </w:rPr>
              <w:t>EPS Growth</w:t>
            </w:r>
          </w:p>
        </w:tc>
        <w:tc>
          <w:tcPr>
            <w:tcW w:w="0" w:type="auto"/>
            <w:hideMark/>
          </w:tcPr>
          <w:p w14:paraId="535B12DC" w14:textId="77777777" w:rsidR="008D1BA5" w:rsidRPr="008D1BA5" w:rsidRDefault="008D1BA5" w:rsidP="008D1BA5">
            <w:pPr>
              <w:spacing w:after="160" w:line="278" w:lineRule="auto"/>
              <w:jc w:val="center"/>
              <w:rPr>
                <w:rFonts w:ascii="Times New Roman" w:hAnsi="Times New Roman" w:cs="Times New Roman"/>
                <w:b/>
                <w:bCs/>
                <w:sz w:val="20"/>
                <w:szCs w:val="20"/>
              </w:rPr>
            </w:pPr>
            <w:r w:rsidRPr="008D1BA5">
              <w:rPr>
                <w:rFonts w:ascii="Times New Roman" w:hAnsi="Times New Roman" w:cs="Times New Roman"/>
                <w:b/>
                <w:bCs/>
                <w:sz w:val="20"/>
                <w:szCs w:val="20"/>
              </w:rPr>
              <w:t>Dividend Yield %</w:t>
            </w:r>
          </w:p>
        </w:tc>
        <w:tc>
          <w:tcPr>
            <w:tcW w:w="0" w:type="auto"/>
            <w:hideMark/>
          </w:tcPr>
          <w:p w14:paraId="67EF5B02" w14:textId="77777777" w:rsidR="008D1BA5" w:rsidRPr="008D1BA5" w:rsidRDefault="008D1BA5" w:rsidP="008D1BA5">
            <w:pPr>
              <w:spacing w:after="160" w:line="278" w:lineRule="auto"/>
              <w:jc w:val="center"/>
              <w:rPr>
                <w:rFonts w:ascii="Times New Roman" w:hAnsi="Times New Roman" w:cs="Times New Roman"/>
                <w:b/>
                <w:bCs/>
                <w:sz w:val="20"/>
                <w:szCs w:val="20"/>
              </w:rPr>
            </w:pPr>
            <w:r w:rsidRPr="008D1BA5">
              <w:rPr>
                <w:rFonts w:ascii="Times New Roman" w:hAnsi="Times New Roman" w:cs="Times New Roman"/>
                <w:b/>
                <w:bCs/>
                <w:sz w:val="20"/>
                <w:szCs w:val="20"/>
              </w:rPr>
              <w:t>Debt/Equity</w:t>
            </w:r>
          </w:p>
        </w:tc>
      </w:tr>
      <w:tr w:rsidR="008D1BA5" w:rsidRPr="008D1BA5" w14:paraId="6E857128" w14:textId="77777777" w:rsidTr="00583527">
        <w:tc>
          <w:tcPr>
            <w:tcW w:w="0" w:type="auto"/>
            <w:hideMark/>
          </w:tcPr>
          <w:p w14:paraId="1E3F6D13"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b/>
                <w:bCs/>
              </w:rPr>
              <w:t>0</w:t>
            </w:r>
          </w:p>
        </w:tc>
        <w:tc>
          <w:tcPr>
            <w:tcW w:w="0" w:type="auto"/>
            <w:hideMark/>
          </w:tcPr>
          <w:p w14:paraId="02483C63"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23.62</w:t>
            </w:r>
          </w:p>
        </w:tc>
        <w:tc>
          <w:tcPr>
            <w:tcW w:w="0" w:type="auto"/>
            <w:hideMark/>
          </w:tcPr>
          <w:p w14:paraId="28414435"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21.94</w:t>
            </w:r>
          </w:p>
        </w:tc>
        <w:tc>
          <w:tcPr>
            <w:tcW w:w="0" w:type="auto"/>
            <w:hideMark/>
          </w:tcPr>
          <w:p w14:paraId="6AE27F78"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28.82</w:t>
            </w:r>
          </w:p>
        </w:tc>
        <w:tc>
          <w:tcPr>
            <w:tcW w:w="0" w:type="auto"/>
            <w:hideMark/>
          </w:tcPr>
          <w:p w14:paraId="0E4103C0"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23,646.37</w:t>
            </w:r>
          </w:p>
        </w:tc>
        <w:tc>
          <w:tcPr>
            <w:tcW w:w="0" w:type="auto"/>
            <w:hideMark/>
          </w:tcPr>
          <w:p w14:paraId="6F39989D"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6.58</w:t>
            </w:r>
          </w:p>
        </w:tc>
        <w:tc>
          <w:tcPr>
            <w:tcW w:w="0" w:type="auto"/>
            <w:hideMark/>
          </w:tcPr>
          <w:p w14:paraId="0FA0C443"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22.41</w:t>
            </w:r>
          </w:p>
        </w:tc>
        <w:tc>
          <w:tcPr>
            <w:tcW w:w="0" w:type="auto"/>
            <w:hideMark/>
          </w:tcPr>
          <w:p w14:paraId="2595F052"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2.41</w:t>
            </w:r>
          </w:p>
        </w:tc>
        <w:tc>
          <w:tcPr>
            <w:tcW w:w="0" w:type="auto"/>
            <w:hideMark/>
          </w:tcPr>
          <w:p w14:paraId="04313330"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2.05</w:t>
            </w:r>
          </w:p>
        </w:tc>
      </w:tr>
      <w:tr w:rsidR="008D1BA5" w:rsidRPr="008D1BA5" w14:paraId="67C6023E" w14:textId="77777777" w:rsidTr="00583527">
        <w:tc>
          <w:tcPr>
            <w:tcW w:w="0" w:type="auto"/>
            <w:hideMark/>
          </w:tcPr>
          <w:p w14:paraId="1052F8A1"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b/>
                <w:bCs/>
              </w:rPr>
              <w:t>1</w:t>
            </w:r>
          </w:p>
        </w:tc>
        <w:tc>
          <w:tcPr>
            <w:tcW w:w="0" w:type="auto"/>
            <w:hideMark/>
          </w:tcPr>
          <w:p w14:paraId="5A18FDF2"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21.64</w:t>
            </w:r>
          </w:p>
        </w:tc>
        <w:tc>
          <w:tcPr>
            <w:tcW w:w="0" w:type="auto"/>
            <w:hideMark/>
          </w:tcPr>
          <w:p w14:paraId="0BD3155E"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20.75</w:t>
            </w:r>
          </w:p>
        </w:tc>
        <w:tc>
          <w:tcPr>
            <w:tcW w:w="0" w:type="auto"/>
            <w:hideMark/>
          </w:tcPr>
          <w:p w14:paraId="3BE77291"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25.33</w:t>
            </w:r>
          </w:p>
        </w:tc>
        <w:tc>
          <w:tcPr>
            <w:tcW w:w="0" w:type="auto"/>
            <w:hideMark/>
          </w:tcPr>
          <w:p w14:paraId="39230017"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1,961.99</w:t>
            </w:r>
          </w:p>
        </w:tc>
        <w:tc>
          <w:tcPr>
            <w:tcW w:w="0" w:type="auto"/>
            <w:hideMark/>
          </w:tcPr>
          <w:p w14:paraId="0EC73CEA"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6.40</w:t>
            </w:r>
          </w:p>
        </w:tc>
        <w:tc>
          <w:tcPr>
            <w:tcW w:w="0" w:type="auto"/>
            <w:hideMark/>
          </w:tcPr>
          <w:p w14:paraId="0C788639"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22.68</w:t>
            </w:r>
          </w:p>
        </w:tc>
        <w:tc>
          <w:tcPr>
            <w:tcW w:w="0" w:type="auto"/>
            <w:hideMark/>
          </w:tcPr>
          <w:p w14:paraId="06C1E871"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0.97</w:t>
            </w:r>
          </w:p>
        </w:tc>
        <w:tc>
          <w:tcPr>
            <w:tcW w:w="0" w:type="auto"/>
            <w:hideMark/>
          </w:tcPr>
          <w:p w14:paraId="57FEDF36"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1.20</w:t>
            </w:r>
          </w:p>
        </w:tc>
      </w:tr>
      <w:tr w:rsidR="008D1BA5" w:rsidRPr="008D1BA5" w14:paraId="3DC3C534" w14:textId="77777777" w:rsidTr="00583527">
        <w:tc>
          <w:tcPr>
            <w:tcW w:w="0" w:type="auto"/>
            <w:hideMark/>
          </w:tcPr>
          <w:p w14:paraId="3250E662"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b/>
                <w:bCs/>
              </w:rPr>
              <w:t>2</w:t>
            </w:r>
          </w:p>
        </w:tc>
        <w:tc>
          <w:tcPr>
            <w:tcW w:w="0" w:type="auto"/>
            <w:hideMark/>
          </w:tcPr>
          <w:p w14:paraId="64A2F99E"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20.22</w:t>
            </w:r>
          </w:p>
        </w:tc>
        <w:tc>
          <w:tcPr>
            <w:tcW w:w="0" w:type="auto"/>
            <w:hideMark/>
          </w:tcPr>
          <w:p w14:paraId="5B4F0F31"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10.89</w:t>
            </w:r>
          </w:p>
        </w:tc>
        <w:tc>
          <w:tcPr>
            <w:tcW w:w="0" w:type="auto"/>
            <w:hideMark/>
          </w:tcPr>
          <w:p w14:paraId="0306C11E"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76.03</w:t>
            </w:r>
          </w:p>
        </w:tc>
        <w:tc>
          <w:tcPr>
            <w:tcW w:w="0" w:type="auto"/>
            <w:hideMark/>
          </w:tcPr>
          <w:p w14:paraId="352B481B"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-74,911.23</w:t>
            </w:r>
          </w:p>
        </w:tc>
        <w:tc>
          <w:tcPr>
            <w:tcW w:w="0" w:type="auto"/>
            <w:hideMark/>
          </w:tcPr>
          <w:p w14:paraId="587A1418"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5.25</w:t>
            </w:r>
          </w:p>
        </w:tc>
        <w:tc>
          <w:tcPr>
            <w:tcW w:w="0" w:type="auto"/>
            <w:hideMark/>
          </w:tcPr>
          <w:p w14:paraId="5E61B6DB"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26.71</w:t>
            </w:r>
          </w:p>
        </w:tc>
        <w:tc>
          <w:tcPr>
            <w:tcW w:w="0" w:type="auto"/>
            <w:hideMark/>
          </w:tcPr>
          <w:p w14:paraId="65B0DD1A"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1.98</w:t>
            </w:r>
          </w:p>
        </w:tc>
        <w:tc>
          <w:tcPr>
            <w:tcW w:w="0" w:type="auto"/>
            <w:hideMark/>
          </w:tcPr>
          <w:p w14:paraId="4D1F1DB7"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5.81</w:t>
            </w:r>
          </w:p>
        </w:tc>
      </w:tr>
      <w:tr w:rsidR="008D1BA5" w:rsidRPr="008D1BA5" w14:paraId="4EB3727A" w14:textId="77777777" w:rsidTr="00583527">
        <w:tc>
          <w:tcPr>
            <w:tcW w:w="0" w:type="auto"/>
            <w:hideMark/>
          </w:tcPr>
          <w:p w14:paraId="1A713FEC"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b/>
                <w:bCs/>
              </w:rPr>
              <w:t>3</w:t>
            </w:r>
          </w:p>
        </w:tc>
        <w:tc>
          <w:tcPr>
            <w:tcW w:w="0" w:type="auto"/>
            <w:hideMark/>
          </w:tcPr>
          <w:p w14:paraId="05AE0705"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18.80</w:t>
            </w:r>
          </w:p>
        </w:tc>
        <w:tc>
          <w:tcPr>
            <w:tcW w:w="0" w:type="auto"/>
            <w:hideMark/>
          </w:tcPr>
          <w:p w14:paraId="00500CD5"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7.60</w:t>
            </w:r>
          </w:p>
        </w:tc>
        <w:tc>
          <w:tcPr>
            <w:tcW w:w="0" w:type="auto"/>
            <w:hideMark/>
          </w:tcPr>
          <w:p w14:paraId="1A08FBD5"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30.37</w:t>
            </w:r>
          </w:p>
        </w:tc>
        <w:tc>
          <w:tcPr>
            <w:tcW w:w="0" w:type="auto"/>
            <w:hideMark/>
          </w:tcPr>
          <w:p w14:paraId="65B1D38C"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153,675.82</w:t>
            </w:r>
          </w:p>
        </w:tc>
        <w:tc>
          <w:tcPr>
            <w:tcW w:w="0" w:type="auto"/>
            <w:hideMark/>
          </w:tcPr>
          <w:p w14:paraId="720DA0C4"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6.00</w:t>
            </w:r>
          </w:p>
        </w:tc>
        <w:tc>
          <w:tcPr>
            <w:tcW w:w="0" w:type="auto"/>
            <w:hideMark/>
          </w:tcPr>
          <w:p w14:paraId="0FDD7BBD"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57.02</w:t>
            </w:r>
          </w:p>
        </w:tc>
        <w:tc>
          <w:tcPr>
            <w:tcW w:w="0" w:type="auto"/>
            <w:hideMark/>
          </w:tcPr>
          <w:p w14:paraId="3EE0B0F1"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0.80</w:t>
            </w:r>
          </w:p>
        </w:tc>
        <w:tc>
          <w:tcPr>
            <w:tcW w:w="0" w:type="auto"/>
            <w:hideMark/>
          </w:tcPr>
          <w:p w14:paraId="4CF0D8A1"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6.45</w:t>
            </w:r>
          </w:p>
        </w:tc>
      </w:tr>
      <w:tr w:rsidR="008D1BA5" w:rsidRPr="008D1BA5" w14:paraId="1296713C" w14:textId="77777777" w:rsidTr="00583527">
        <w:tc>
          <w:tcPr>
            <w:tcW w:w="0" w:type="auto"/>
            <w:hideMark/>
          </w:tcPr>
          <w:p w14:paraId="553B91EE"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b/>
                <w:bCs/>
              </w:rPr>
              <w:t>4</w:t>
            </w:r>
          </w:p>
        </w:tc>
        <w:tc>
          <w:tcPr>
            <w:tcW w:w="0" w:type="auto"/>
            <w:hideMark/>
          </w:tcPr>
          <w:p w14:paraId="695A289B"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11.46</w:t>
            </w:r>
          </w:p>
        </w:tc>
        <w:tc>
          <w:tcPr>
            <w:tcW w:w="0" w:type="auto"/>
            <w:hideMark/>
          </w:tcPr>
          <w:p w14:paraId="42D4B7A5"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11.46</w:t>
            </w:r>
          </w:p>
        </w:tc>
        <w:tc>
          <w:tcPr>
            <w:tcW w:w="0" w:type="auto"/>
            <w:hideMark/>
          </w:tcPr>
          <w:p w14:paraId="75962003"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40.72</w:t>
            </w:r>
          </w:p>
        </w:tc>
        <w:tc>
          <w:tcPr>
            <w:tcW w:w="0" w:type="auto"/>
            <w:hideMark/>
          </w:tcPr>
          <w:p w14:paraId="1B570296"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-26,847.66</w:t>
            </w:r>
          </w:p>
        </w:tc>
        <w:tc>
          <w:tcPr>
            <w:tcW w:w="0" w:type="auto"/>
            <w:hideMark/>
          </w:tcPr>
          <w:p w14:paraId="740AF2C1"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3.86</w:t>
            </w:r>
          </w:p>
        </w:tc>
        <w:tc>
          <w:tcPr>
            <w:tcW w:w="0" w:type="auto"/>
            <w:hideMark/>
          </w:tcPr>
          <w:p w14:paraId="630FD424"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7.19</w:t>
            </w:r>
          </w:p>
        </w:tc>
        <w:tc>
          <w:tcPr>
            <w:tcW w:w="0" w:type="auto"/>
            <w:hideMark/>
          </w:tcPr>
          <w:p w14:paraId="714A56FF"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0.98</w:t>
            </w:r>
          </w:p>
        </w:tc>
        <w:tc>
          <w:tcPr>
            <w:tcW w:w="0" w:type="auto"/>
            <w:hideMark/>
          </w:tcPr>
          <w:p w14:paraId="4BF86062"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3.49</w:t>
            </w:r>
          </w:p>
        </w:tc>
      </w:tr>
      <w:tr w:rsidR="008D1BA5" w:rsidRPr="008D1BA5" w14:paraId="09FAE4DA" w14:textId="77777777" w:rsidTr="00583527">
        <w:tc>
          <w:tcPr>
            <w:tcW w:w="0" w:type="auto"/>
            <w:hideMark/>
          </w:tcPr>
          <w:p w14:paraId="3082D846"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b/>
                <w:bCs/>
              </w:rPr>
              <w:t>5</w:t>
            </w:r>
          </w:p>
        </w:tc>
        <w:tc>
          <w:tcPr>
            <w:tcW w:w="0" w:type="auto"/>
            <w:hideMark/>
          </w:tcPr>
          <w:p w14:paraId="26AFC83A"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13.67</w:t>
            </w:r>
          </w:p>
        </w:tc>
        <w:tc>
          <w:tcPr>
            <w:tcW w:w="0" w:type="auto"/>
            <w:hideMark/>
          </w:tcPr>
          <w:p w14:paraId="40A127E5"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8.87</w:t>
            </w:r>
          </w:p>
        </w:tc>
        <w:tc>
          <w:tcPr>
            <w:tcW w:w="0" w:type="auto"/>
            <w:hideMark/>
          </w:tcPr>
          <w:p w14:paraId="01845955"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52.27</w:t>
            </w:r>
          </w:p>
        </w:tc>
        <w:tc>
          <w:tcPr>
            <w:tcW w:w="0" w:type="auto"/>
            <w:hideMark/>
          </w:tcPr>
          <w:p w14:paraId="4D63BCE3"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-7,954.92</w:t>
            </w:r>
          </w:p>
        </w:tc>
        <w:tc>
          <w:tcPr>
            <w:tcW w:w="0" w:type="auto"/>
            <w:hideMark/>
          </w:tcPr>
          <w:p w14:paraId="06523459"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5.11</w:t>
            </w:r>
          </w:p>
        </w:tc>
        <w:tc>
          <w:tcPr>
            <w:tcW w:w="0" w:type="auto"/>
            <w:hideMark/>
          </w:tcPr>
          <w:p w14:paraId="1AAEFE25"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19.94</w:t>
            </w:r>
          </w:p>
        </w:tc>
        <w:tc>
          <w:tcPr>
            <w:tcW w:w="0" w:type="auto"/>
            <w:hideMark/>
          </w:tcPr>
          <w:p w14:paraId="465893AE"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1.11</w:t>
            </w:r>
          </w:p>
        </w:tc>
        <w:tc>
          <w:tcPr>
            <w:tcW w:w="0" w:type="auto"/>
            <w:hideMark/>
          </w:tcPr>
          <w:p w14:paraId="4F264391" w14:textId="77777777" w:rsidR="008D1BA5" w:rsidRPr="008D1BA5" w:rsidRDefault="008D1BA5" w:rsidP="008D1BA5">
            <w:pPr>
              <w:spacing w:after="160" w:line="278" w:lineRule="auto"/>
              <w:jc w:val="center"/>
              <w:rPr>
                <w:rFonts w:ascii="Times New Roman" w:hAnsi="Times New Roman" w:cs="Times New Roman"/>
              </w:rPr>
            </w:pPr>
            <w:r w:rsidRPr="008D1BA5">
              <w:rPr>
                <w:rFonts w:ascii="Times New Roman" w:hAnsi="Times New Roman" w:cs="Times New Roman"/>
              </w:rPr>
              <w:t>4.58</w:t>
            </w:r>
          </w:p>
        </w:tc>
      </w:tr>
    </w:tbl>
    <w:p w14:paraId="5AF57644" w14:textId="1A3C972D" w:rsidR="008D1BA5" w:rsidRDefault="008D1BA5" w:rsidP="00ED37EB">
      <w:pPr>
        <w:jc w:val="center"/>
        <w:rPr>
          <w:rFonts w:ascii="Times New Roman" w:hAnsi="Times New Roman" w:cs="Times New Roman"/>
        </w:rPr>
      </w:pPr>
    </w:p>
    <w:p w14:paraId="33475028" w14:textId="77777777" w:rsidR="008364E2" w:rsidRPr="008364E2" w:rsidRDefault="008364E2" w:rsidP="008364E2">
      <w:pPr>
        <w:jc w:val="center"/>
        <w:rPr>
          <w:rFonts w:ascii="Times New Roman" w:hAnsi="Times New Roman" w:cs="Times New Roman"/>
          <w:b/>
          <w:bCs/>
        </w:rPr>
      </w:pPr>
      <w:r w:rsidRPr="008364E2">
        <w:rPr>
          <w:rFonts w:ascii="Times New Roman" w:hAnsi="Times New Roman" w:cs="Times New Roman"/>
          <w:b/>
          <w:bCs/>
        </w:rPr>
        <w:t>2. Performance Metrics</w:t>
      </w:r>
    </w:p>
    <w:tbl>
      <w:tblPr>
        <w:tblStyle w:val="TableGrid"/>
        <w:tblW w:w="9141" w:type="dxa"/>
        <w:tblLook w:val="04A0" w:firstRow="1" w:lastRow="0" w:firstColumn="1" w:lastColumn="0" w:noHBand="0" w:noVBand="1"/>
      </w:tblPr>
      <w:tblGrid>
        <w:gridCol w:w="1186"/>
        <w:gridCol w:w="2495"/>
        <w:gridCol w:w="2374"/>
        <w:gridCol w:w="2021"/>
        <w:gridCol w:w="1065"/>
      </w:tblGrid>
      <w:tr w:rsidR="008364E2" w:rsidRPr="008364E2" w14:paraId="5FC7422F" w14:textId="77777777" w:rsidTr="008364E2">
        <w:trPr>
          <w:trHeight w:val="499"/>
        </w:trPr>
        <w:tc>
          <w:tcPr>
            <w:tcW w:w="0" w:type="auto"/>
            <w:hideMark/>
          </w:tcPr>
          <w:p w14:paraId="51DAD676" w14:textId="77777777" w:rsidR="008364E2" w:rsidRPr="008364E2" w:rsidRDefault="008364E2" w:rsidP="008364E2">
            <w:pPr>
              <w:spacing w:after="160" w:line="278" w:lineRule="auto"/>
              <w:jc w:val="center"/>
              <w:rPr>
                <w:rFonts w:ascii="Times New Roman" w:hAnsi="Times New Roman" w:cs="Times New Roman"/>
                <w:b/>
                <w:bCs/>
              </w:rPr>
            </w:pPr>
            <w:r w:rsidRPr="008364E2">
              <w:rPr>
                <w:rFonts w:ascii="Times New Roman" w:hAnsi="Times New Roman" w:cs="Times New Roman"/>
                <w:b/>
                <w:bCs/>
              </w:rPr>
              <w:t>Cluster</w:t>
            </w:r>
          </w:p>
        </w:tc>
        <w:tc>
          <w:tcPr>
            <w:tcW w:w="2495" w:type="dxa"/>
            <w:hideMark/>
          </w:tcPr>
          <w:p w14:paraId="53625517" w14:textId="77777777" w:rsidR="008364E2" w:rsidRPr="008364E2" w:rsidRDefault="008364E2" w:rsidP="008364E2">
            <w:pPr>
              <w:spacing w:after="160" w:line="278" w:lineRule="auto"/>
              <w:jc w:val="center"/>
              <w:rPr>
                <w:rFonts w:ascii="Times New Roman" w:hAnsi="Times New Roman" w:cs="Times New Roman"/>
                <w:b/>
                <w:bCs/>
              </w:rPr>
            </w:pPr>
            <w:r w:rsidRPr="008364E2">
              <w:rPr>
                <w:rFonts w:ascii="Times New Roman" w:hAnsi="Times New Roman" w:cs="Times New Roman"/>
                <w:b/>
                <w:bCs/>
              </w:rPr>
              <w:t>Reward to Risk Ratio</w:t>
            </w:r>
          </w:p>
        </w:tc>
        <w:tc>
          <w:tcPr>
            <w:tcW w:w="2374" w:type="dxa"/>
            <w:hideMark/>
          </w:tcPr>
          <w:p w14:paraId="7E674697" w14:textId="77777777" w:rsidR="008364E2" w:rsidRPr="008364E2" w:rsidRDefault="008364E2" w:rsidP="008364E2">
            <w:pPr>
              <w:spacing w:after="160" w:line="278" w:lineRule="auto"/>
              <w:jc w:val="center"/>
              <w:rPr>
                <w:rFonts w:ascii="Times New Roman" w:hAnsi="Times New Roman" w:cs="Times New Roman"/>
                <w:b/>
                <w:bCs/>
              </w:rPr>
            </w:pPr>
            <w:r w:rsidRPr="008364E2">
              <w:rPr>
                <w:rFonts w:ascii="Times New Roman" w:hAnsi="Times New Roman" w:cs="Times New Roman"/>
                <w:b/>
                <w:bCs/>
              </w:rPr>
              <w:t>Sharpe Ratio</w:t>
            </w:r>
          </w:p>
        </w:tc>
        <w:tc>
          <w:tcPr>
            <w:tcW w:w="0" w:type="auto"/>
            <w:hideMark/>
          </w:tcPr>
          <w:p w14:paraId="5B0C1CFE" w14:textId="77777777" w:rsidR="008364E2" w:rsidRPr="008364E2" w:rsidRDefault="008364E2" w:rsidP="008364E2">
            <w:pPr>
              <w:spacing w:after="160" w:line="278" w:lineRule="auto"/>
              <w:jc w:val="center"/>
              <w:rPr>
                <w:rFonts w:ascii="Times New Roman" w:hAnsi="Times New Roman" w:cs="Times New Roman"/>
                <w:b/>
                <w:bCs/>
              </w:rPr>
            </w:pPr>
            <w:r w:rsidRPr="008364E2">
              <w:rPr>
                <w:rFonts w:ascii="Times New Roman" w:hAnsi="Times New Roman" w:cs="Times New Roman"/>
                <w:b/>
                <w:bCs/>
              </w:rPr>
              <w:t>Treynor Ratio</w:t>
            </w:r>
          </w:p>
        </w:tc>
        <w:tc>
          <w:tcPr>
            <w:tcW w:w="0" w:type="auto"/>
            <w:hideMark/>
          </w:tcPr>
          <w:p w14:paraId="7AC12C23" w14:textId="77777777" w:rsidR="008364E2" w:rsidRPr="008364E2" w:rsidRDefault="008364E2" w:rsidP="008364E2">
            <w:pPr>
              <w:spacing w:after="160" w:line="278" w:lineRule="auto"/>
              <w:jc w:val="center"/>
              <w:rPr>
                <w:rFonts w:ascii="Times New Roman" w:hAnsi="Times New Roman" w:cs="Times New Roman"/>
                <w:b/>
                <w:bCs/>
              </w:rPr>
            </w:pPr>
            <w:r w:rsidRPr="008364E2">
              <w:rPr>
                <w:rFonts w:ascii="Times New Roman" w:hAnsi="Times New Roman" w:cs="Times New Roman"/>
                <w:b/>
                <w:bCs/>
              </w:rPr>
              <w:t>Beta</w:t>
            </w:r>
          </w:p>
        </w:tc>
      </w:tr>
      <w:tr w:rsidR="008364E2" w:rsidRPr="008364E2" w14:paraId="5DF99279" w14:textId="77777777" w:rsidTr="008364E2">
        <w:trPr>
          <w:trHeight w:val="499"/>
        </w:trPr>
        <w:tc>
          <w:tcPr>
            <w:tcW w:w="0" w:type="auto"/>
            <w:hideMark/>
          </w:tcPr>
          <w:p w14:paraId="7A42EE7F" w14:textId="77777777" w:rsidR="008364E2" w:rsidRPr="008364E2" w:rsidRDefault="008364E2" w:rsidP="008364E2">
            <w:pPr>
              <w:spacing w:after="160" w:line="278" w:lineRule="auto"/>
              <w:jc w:val="center"/>
              <w:rPr>
                <w:rFonts w:ascii="Times New Roman" w:hAnsi="Times New Roman" w:cs="Times New Roman"/>
              </w:rPr>
            </w:pPr>
            <w:r w:rsidRPr="008364E2">
              <w:rPr>
                <w:rFonts w:ascii="Times New Roman" w:hAnsi="Times New Roman" w:cs="Times New Roman"/>
                <w:b/>
                <w:bCs/>
              </w:rPr>
              <w:t>0</w:t>
            </w:r>
          </w:p>
        </w:tc>
        <w:tc>
          <w:tcPr>
            <w:tcW w:w="2495" w:type="dxa"/>
            <w:hideMark/>
          </w:tcPr>
          <w:p w14:paraId="74C46DC7" w14:textId="77777777" w:rsidR="008364E2" w:rsidRPr="008364E2" w:rsidRDefault="008364E2" w:rsidP="008364E2">
            <w:pPr>
              <w:spacing w:after="160" w:line="278" w:lineRule="auto"/>
              <w:jc w:val="center"/>
              <w:rPr>
                <w:rFonts w:ascii="Times New Roman" w:hAnsi="Times New Roman" w:cs="Times New Roman"/>
              </w:rPr>
            </w:pPr>
            <w:r w:rsidRPr="008364E2">
              <w:rPr>
                <w:rFonts w:ascii="Times New Roman" w:hAnsi="Times New Roman" w:cs="Times New Roman"/>
              </w:rPr>
              <w:t>-0.3822</w:t>
            </w:r>
          </w:p>
        </w:tc>
        <w:tc>
          <w:tcPr>
            <w:tcW w:w="2374" w:type="dxa"/>
            <w:hideMark/>
          </w:tcPr>
          <w:p w14:paraId="2EB45E02" w14:textId="77777777" w:rsidR="008364E2" w:rsidRPr="008364E2" w:rsidRDefault="008364E2" w:rsidP="008364E2">
            <w:pPr>
              <w:spacing w:after="160" w:line="278" w:lineRule="auto"/>
              <w:jc w:val="center"/>
              <w:rPr>
                <w:rFonts w:ascii="Times New Roman" w:hAnsi="Times New Roman" w:cs="Times New Roman"/>
              </w:rPr>
            </w:pPr>
            <w:r w:rsidRPr="008364E2">
              <w:rPr>
                <w:rFonts w:ascii="Times New Roman" w:hAnsi="Times New Roman" w:cs="Times New Roman"/>
              </w:rPr>
              <w:t>-0.5697</w:t>
            </w:r>
          </w:p>
        </w:tc>
        <w:tc>
          <w:tcPr>
            <w:tcW w:w="0" w:type="auto"/>
            <w:hideMark/>
          </w:tcPr>
          <w:p w14:paraId="58875029" w14:textId="77777777" w:rsidR="008364E2" w:rsidRPr="008364E2" w:rsidRDefault="008364E2" w:rsidP="008364E2">
            <w:pPr>
              <w:spacing w:after="160" w:line="278" w:lineRule="auto"/>
              <w:jc w:val="center"/>
              <w:rPr>
                <w:rFonts w:ascii="Times New Roman" w:hAnsi="Times New Roman" w:cs="Times New Roman"/>
              </w:rPr>
            </w:pPr>
            <w:r w:rsidRPr="008364E2">
              <w:rPr>
                <w:rFonts w:ascii="Times New Roman" w:hAnsi="Times New Roman" w:cs="Times New Roman"/>
              </w:rPr>
              <w:t>-0.1685</w:t>
            </w:r>
          </w:p>
        </w:tc>
        <w:tc>
          <w:tcPr>
            <w:tcW w:w="0" w:type="auto"/>
            <w:hideMark/>
          </w:tcPr>
          <w:p w14:paraId="5A1B2224" w14:textId="77777777" w:rsidR="008364E2" w:rsidRPr="008364E2" w:rsidRDefault="008364E2" w:rsidP="008364E2">
            <w:pPr>
              <w:spacing w:after="160" w:line="278" w:lineRule="auto"/>
              <w:jc w:val="center"/>
              <w:rPr>
                <w:rFonts w:ascii="Times New Roman" w:hAnsi="Times New Roman" w:cs="Times New Roman"/>
              </w:rPr>
            </w:pPr>
            <w:r w:rsidRPr="008364E2">
              <w:rPr>
                <w:rFonts w:ascii="Times New Roman" w:hAnsi="Times New Roman" w:cs="Times New Roman"/>
              </w:rPr>
              <w:t>1.2208</w:t>
            </w:r>
          </w:p>
        </w:tc>
      </w:tr>
      <w:tr w:rsidR="008364E2" w:rsidRPr="008364E2" w14:paraId="029059EA" w14:textId="77777777" w:rsidTr="008364E2">
        <w:trPr>
          <w:trHeight w:val="499"/>
        </w:trPr>
        <w:tc>
          <w:tcPr>
            <w:tcW w:w="0" w:type="auto"/>
            <w:hideMark/>
          </w:tcPr>
          <w:p w14:paraId="4A750C2A" w14:textId="77777777" w:rsidR="008364E2" w:rsidRPr="008364E2" w:rsidRDefault="008364E2" w:rsidP="008364E2">
            <w:pPr>
              <w:spacing w:after="160" w:line="278" w:lineRule="auto"/>
              <w:jc w:val="center"/>
              <w:rPr>
                <w:rFonts w:ascii="Times New Roman" w:hAnsi="Times New Roman" w:cs="Times New Roman"/>
              </w:rPr>
            </w:pPr>
            <w:r w:rsidRPr="008364E2">
              <w:rPr>
                <w:rFonts w:ascii="Times New Roman" w:hAnsi="Times New Roman" w:cs="Times New Roman"/>
                <w:b/>
                <w:bCs/>
              </w:rPr>
              <w:t>1</w:t>
            </w:r>
          </w:p>
        </w:tc>
        <w:tc>
          <w:tcPr>
            <w:tcW w:w="2495" w:type="dxa"/>
            <w:hideMark/>
          </w:tcPr>
          <w:p w14:paraId="076089CB" w14:textId="77777777" w:rsidR="008364E2" w:rsidRPr="008364E2" w:rsidRDefault="008364E2" w:rsidP="008364E2">
            <w:pPr>
              <w:spacing w:after="160" w:line="278" w:lineRule="auto"/>
              <w:jc w:val="center"/>
              <w:rPr>
                <w:rFonts w:ascii="Times New Roman" w:hAnsi="Times New Roman" w:cs="Times New Roman"/>
              </w:rPr>
            </w:pPr>
            <w:r w:rsidRPr="008364E2">
              <w:rPr>
                <w:rFonts w:ascii="Times New Roman" w:hAnsi="Times New Roman" w:cs="Times New Roman"/>
              </w:rPr>
              <w:t>1.1626</w:t>
            </w:r>
          </w:p>
        </w:tc>
        <w:tc>
          <w:tcPr>
            <w:tcW w:w="2374" w:type="dxa"/>
            <w:hideMark/>
          </w:tcPr>
          <w:p w14:paraId="1D92DEC1" w14:textId="77777777" w:rsidR="008364E2" w:rsidRPr="008364E2" w:rsidRDefault="008364E2" w:rsidP="008364E2">
            <w:pPr>
              <w:spacing w:after="160" w:line="278" w:lineRule="auto"/>
              <w:jc w:val="center"/>
              <w:rPr>
                <w:rFonts w:ascii="Times New Roman" w:hAnsi="Times New Roman" w:cs="Times New Roman"/>
              </w:rPr>
            </w:pPr>
            <w:r w:rsidRPr="008364E2">
              <w:rPr>
                <w:rFonts w:ascii="Times New Roman" w:hAnsi="Times New Roman" w:cs="Times New Roman"/>
              </w:rPr>
              <w:t>0.7332</w:t>
            </w:r>
          </w:p>
        </w:tc>
        <w:tc>
          <w:tcPr>
            <w:tcW w:w="0" w:type="auto"/>
            <w:hideMark/>
          </w:tcPr>
          <w:p w14:paraId="267859D2" w14:textId="77777777" w:rsidR="008364E2" w:rsidRPr="008364E2" w:rsidRDefault="008364E2" w:rsidP="008364E2">
            <w:pPr>
              <w:spacing w:after="160" w:line="278" w:lineRule="auto"/>
              <w:jc w:val="center"/>
              <w:rPr>
                <w:rFonts w:ascii="Times New Roman" w:hAnsi="Times New Roman" w:cs="Times New Roman"/>
              </w:rPr>
            </w:pPr>
            <w:r w:rsidRPr="008364E2">
              <w:rPr>
                <w:rFonts w:ascii="Times New Roman" w:hAnsi="Times New Roman" w:cs="Times New Roman"/>
              </w:rPr>
              <w:t>0.1617</w:t>
            </w:r>
          </w:p>
        </w:tc>
        <w:tc>
          <w:tcPr>
            <w:tcW w:w="0" w:type="auto"/>
            <w:hideMark/>
          </w:tcPr>
          <w:p w14:paraId="721AA09B" w14:textId="77777777" w:rsidR="008364E2" w:rsidRPr="008364E2" w:rsidRDefault="008364E2" w:rsidP="008364E2">
            <w:pPr>
              <w:spacing w:after="160" w:line="278" w:lineRule="auto"/>
              <w:jc w:val="center"/>
              <w:rPr>
                <w:rFonts w:ascii="Times New Roman" w:hAnsi="Times New Roman" w:cs="Times New Roman"/>
              </w:rPr>
            </w:pPr>
            <w:r w:rsidRPr="008364E2">
              <w:rPr>
                <w:rFonts w:ascii="Times New Roman" w:hAnsi="Times New Roman" w:cs="Times New Roman"/>
              </w:rPr>
              <w:t>0.7148</w:t>
            </w:r>
          </w:p>
        </w:tc>
      </w:tr>
      <w:tr w:rsidR="008364E2" w:rsidRPr="008364E2" w14:paraId="07160F3D" w14:textId="77777777" w:rsidTr="008364E2">
        <w:trPr>
          <w:trHeight w:val="499"/>
        </w:trPr>
        <w:tc>
          <w:tcPr>
            <w:tcW w:w="0" w:type="auto"/>
            <w:hideMark/>
          </w:tcPr>
          <w:p w14:paraId="76D6265E" w14:textId="77777777" w:rsidR="008364E2" w:rsidRPr="008364E2" w:rsidRDefault="008364E2" w:rsidP="008364E2">
            <w:pPr>
              <w:spacing w:after="160" w:line="278" w:lineRule="auto"/>
              <w:jc w:val="center"/>
              <w:rPr>
                <w:rFonts w:ascii="Times New Roman" w:hAnsi="Times New Roman" w:cs="Times New Roman"/>
              </w:rPr>
            </w:pPr>
            <w:r w:rsidRPr="008364E2">
              <w:rPr>
                <w:rFonts w:ascii="Times New Roman" w:hAnsi="Times New Roman" w:cs="Times New Roman"/>
                <w:b/>
                <w:bCs/>
              </w:rPr>
              <w:t>2</w:t>
            </w:r>
          </w:p>
        </w:tc>
        <w:tc>
          <w:tcPr>
            <w:tcW w:w="2495" w:type="dxa"/>
            <w:hideMark/>
          </w:tcPr>
          <w:p w14:paraId="108AE57B" w14:textId="77777777" w:rsidR="008364E2" w:rsidRPr="008364E2" w:rsidRDefault="008364E2" w:rsidP="008364E2">
            <w:pPr>
              <w:spacing w:after="160" w:line="278" w:lineRule="auto"/>
              <w:jc w:val="center"/>
              <w:rPr>
                <w:rFonts w:ascii="Times New Roman" w:hAnsi="Times New Roman" w:cs="Times New Roman"/>
              </w:rPr>
            </w:pPr>
            <w:r w:rsidRPr="008364E2">
              <w:rPr>
                <w:rFonts w:ascii="Times New Roman" w:hAnsi="Times New Roman" w:cs="Times New Roman"/>
              </w:rPr>
              <w:t>0.4812</w:t>
            </w:r>
          </w:p>
        </w:tc>
        <w:tc>
          <w:tcPr>
            <w:tcW w:w="2374" w:type="dxa"/>
            <w:hideMark/>
          </w:tcPr>
          <w:p w14:paraId="3B925781" w14:textId="77777777" w:rsidR="008364E2" w:rsidRPr="008364E2" w:rsidRDefault="008364E2" w:rsidP="008364E2">
            <w:pPr>
              <w:spacing w:after="160" w:line="278" w:lineRule="auto"/>
              <w:jc w:val="center"/>
              <w:rPr>
                <w:rFonts w:ascii="Times New Roman" w:hAnsi="Times New Roman" w:cs="Times New Roman"/>
              </w:rPr>
            </w:pPr>
            <w:r w:rsidRPr="008364E2">
              <w:rPr>
                <w:rFonts w:ascii="Times New Roman" w:hAnsi="Times New Roman" w:cs="Times New Roman"/>
              </w:rPr>
              <w:t>0.2574</w:t>
            </w:r>
          </w:p>
        </w:tc>
        <w:tc>
          <w:tcPr>
            <w:tcW w:w="0" w:type="auto"/>
            <w:hideMark/>
          </w:tcPr>
          <w:p w14:paraId="7833D610" w14:textId="77777777" w:rsidR="008364E2" w:rsidRPr="008364E2" w:rsidRDefault="008364E2" w:rsidP="008364E2">
            <w:pPr>
              <w:spacing w:after="160" w:line="278" w:lineRule="auto"/>
              <w:jc w:val="center"/>
              <w:rPr>
                <w:rFonts w:ascii="Times New Roman" w:hAnsi="Times New Roman" w:cs="Times New Roman"/>
              </w:rPr>
            </w:pPr>
            <w:r w:rsidRPr="008364E2">
              <w:rPr>
                <w:rFonts w:ascii="Times New Roman" w:hAnsi="Times New Roman" w:cs="Times New Roman"/>
              </w:rPr>
              <w:t>0.0582</w:t>
            </w:r>
          </w:p>
        </w:tc>
        <w:tc>
          <w:tcPr>
            <w:tcW w:w="0" w:type="auto"/>
            <w:hideMark/>
          </w:tcPr>
          <w:p w14:paraId="77A81AB8" w14:textId="77777777" w:rsidR="008364E2" w:rsidRPr="008364E2" w:rsidRDefault="008364E2" w:rsidP="008364E2">
            <w:pPr>
              <w:spacing w:after="160" w:line="278" w:lineRule="auto"/>
              <w:jc w:val="center"/>
              <w:rPr>
                <w:rFonts w:ascii="Times New Roman" w:hAnsi="Times New Roman" w:cs="Times New Roman"/>
              </w:rPr>
            </w:pPr>
            <w:r w:rsidRPr="008364E2">
              <w:rPr>
                <w:rFonts w:ascii="Times New Roman" w:hAnsi="Times New Roman" w:cs="Times New Roman"/>
              </w:rPr>
              <w:t>1.3386</w:t>
            </w:r>
          </w:p>
        </w:tc>
      </w:tr>
      <w:tr w:rsidR="008364E2" w:rsidRPr="008364E2" w14:paraId="22543EBD" w14:textId="77777777" w:rsidTr="008364E2">
        <w:trPr>
          <w:trHeight w:val="499"/>
        </w:trPr>
        <w:tc>
          <w:tcPr>
            <w:tcW w:w="0" w:type="auto"/>
            <w:hideMark/>
          </w:tcPr>
          <w:p w14:paraId="74535D84" w14:textId="77777777" w:rsidR="008364E2" w:rsidRPr="008364E2" w:rsidRDefault="008364E2" w:rsidP="008364E2">
            <w:pPr>
              <w:spacing w:after="160" w:line="278" w:lineRule="auto"/>
              <w:jc w:val="center"/>
              <w:rPr>
                <w:rFonts w:ascii="Times New Roman" w:hAnsi="Times New Roman" w:cs="Times New Roman"/>
              </w:rPr>
            </w:pPr>
            <w:r w:rsidRPr="008364E2">
              <w:rPr>
                <w:rFonts w:ascii="Times New Roman" w:hAnsi="Times New Roman" w:cs="Times New Roman"/>
                <w:b/>
                <w:bCs/>
              </w:rPr>
              <w:t>3</w:t>
            </w:r>
          </w:p>
        </w:tc>
        <w:tc>
          <w:tcPr>
            <w:tcW w:w="2495" w:type="dxa"/>
            <w:hideMark/>
          </w:tcPr>
          <w:p w14:paraId="3D37804C" w14:textId="77777777" w:rsidR="008364E2" w:rsidRPr="008364E2" w:rsidRDefault="008364E2" w:rsidP="008364E2">
            <w:pPr>
              <w:spacing w:after="160" w:line="278" w:lineRule="auto"/>
              <w:jc w:val="center"/>
              <w:rPr>
                <w:rFonts w:ascii="Times New Roman" w:hAnsi="Times New Roman" w:cs="Times New Roman"/>
              </w:rPr>
            </w:pPr>
            <w:r w:rsidRPr="008364E2">
              <w:rPr>
                <w:rFonts w:ascii="Times New Roman" w:hAnsi="Times New Roman" w:cs="Times New Roman"/>
              </w:rPr>
              <w:t>0.9534</w:t>
            </w:r>
          </w:p>
        </w:tc>
        <w:tc>
          <w:tcPr>
            <w:tcW w:w="2374" w:type="dxa"/>
            <w:hideMark/>
          </w:tcPr>
          <w:p w14:paraId="1541BA74" w14:textId="77777777" w:rsidR="008364E2" w:rsidRPr="008364E2" w:rsidRDefault="008364E2" w:rsidP="008364E2">
            <w:pPr>
              <w:spacing w:after="160" w:line="278" w:lineRule="auto"/>
              <w:jc w:val="center"/>
              <w:rPr>
                <w:rFonts w:ascii="Times New Roman" w:hAnsi="Times New Roman" w:cs="Times New Roman"/>
              </w:rPr>
            </w:pPr>
            <w:r w:rsidRPr="008364E2">
              <w:rPr>
                <w:rFonts w:ascii="Times New Roman" w:hAnsi="Times New Roman" w:cs="Times New Roman"/>
              </w:rPr>
              <w:t>0.6728</w:t>
            </w:r>
          </w:p>
        </w:tc>
        <w:tc>
          <w:tcPr>
            <w:tcW w:w="0" w:type="auto"/>
            <w:hideMark/>
          </w:tcPr>
          <w:p w14:paraId="159ABBA0" w14:textId="77777777" w:rsidR="008364E2" w:rsidRPr="008364E2" w:rsidRDefault="008364E2" w:rsidP="008364E2">
            <w:pPr>
              <w:spacing w:after="160" w:line="278" w:lineRule="auto"/>
              <w:jc w:val="center"/>
              <w:rPr>
                <w:rFonts w:ascii="Times New Roman" w:hAnsi="Times New Roman" w:cs="Times New Roman"/>
              </w:rPr>
            </w:pPr>
            <w:r w:rsidRPr="008364E2">
              <w:rPr>
                <w:rFonts w:ascii="Times New Roman" w:hAnsi="Times New Roman" w:cs="Times New Roman"/>
              </w:rPr>
              <w:t>0.1474</w:t>
            </w:r>
          </w:p>
        </w:tc>
        <w:tc>
          <w:tcPr>
            <w:tcW w:w="0" w:type="auto"/>
            <w:hideMark/>
          </w:tcPr>
          <w:p w14:paraId="6C1CA78A" w14:textId="77777777" w:rsidR="008364E2" w:rsidRPr="008364E2" w:rsidRDefault="008364E2" w:rsidP="008364E2">
            <w:pPr>
              <w:spacing w:after="160" w:line="278" w:lineRule="auto"/>
              <w:jc w:val="center"/>
              <w:rPr>
                <w:rFonts w:ascii="Times New Roman" w:hAnsi="Times New Roman" w:cs="Times New Roman"/>
              </w:rPr>
            </w:pPr>
            <w:r w:rsidRPr="008364E2">
              <w:rPr>
                <w:rFonts w:ascii="Times New Roman" w:hAnsi="Times New Roman" w:cs="Times New Roman"/>
              </w:rPr>
              <w:t>1.1010</w:t>
            </w:r>
          </w:p>
        </w:tc>
      </w:tr>
      <w:tr w:rsidR="008364E2" w:rsidRPr="008364E2" w14:paraId="40D67493" w14:textId="77777777" w:rsidTr="008364E2">
        <w:trPr>
          <w:trHeight w:val="499"/>
        </w:trPr>
        <w:tc>
          <w:tcPr>
            <w:tcW w:w="0" w:type="auto"/>
            <w:hideMark/>
          </w:tcPr>
          <w:p w14:paraId="14F797D4" w14:textId="77777777" w:rsidR="008364E2" w:rsidRPr="008364E2" w:rsidRDefault="008364E2" w:rsidP="008364E2">
            <w:pPr>
              <w:spacing w:after="160" w:line="278" w:lineRule="auto"/>
              <w:jc w:val="center"/>
              <w:rPr>
                <w:rFonts w:ascii="Times New Roman" w:hAnsi="Times New Roman" w:cs="Times New Roman"/>
              </w:rPr>
            </w:pPr>
            <w:r w:rsidRPr="008364E2">
              <w:rPr>
                <w:rFonts w:ascii="Times New Roman" w:hAnsi="Times New Roman" w:cs="Times New Roman"/>
                <w:b/>
                <w:bCs/>
              </w:rPr>
              <w:t>4</w:t>
            </w:r>
          </w:p>
        </w:tc>
        <w:tc>
          <w:tcPr>
            <w:tcW w:w="2495" w:type="dxa"/>
            <w:hideMark/>
          </w:tcPr>
          <w:p w14:paraId="79885835" w14:textId="77777777" w:rsidR="008364E2" w:rsidRPr="008364E2" w:rsidRDefault="008364E2" w:rsidP="008364E2">
            <w:pPr>
              <w:spacing w:after="160" w:line="278" w:lineRule="auto"/>
              <w:jc w:val="center"/>
              <w:rPr>
                <w:rFonts w:ascii="Times New Roman" w:hAnsi="Times New Roman" w:cs="Times New Roman"/>
              </w:rPr>
            </w:pPr>
            <w:r w:rsidRPr="008364E2">
              <w:rPr>
                <w:rFonts w:ascii="Times New Roman" w:hAnsi="Times New Roman" w:cs="Times New Roman"/>
              </w:rPr>
              <w:t>0.5659</w:t>
            </w:r>
          </w:p>
        </w:tc>
        <w:tc>
          <w:tcPr>
            <w:tcW w:w="2374" w:type="dxa"/>
            <w:hideMark/>
          </w:tcPr>
          <w:p w14:paraId="7EACF24B" w14:textId="77777777" w:rsidR="008364E2" w:rsidRPr="008364E2" w:rsidRDefault="008364E2" w:rsidP="008364E2">
            <w:pPr>
              <w:spacing w:after="160" w:line="278" w:lineRule="auto"/>
              <w:jc w:val="center"/>
              <w:rPr>
                <w:rFonts w:ascii="Times New Roman" w:hAnsi="Times New Roman" w:cs="Times New Roman"/>
              </w:rPr>
            </w:pPr>
            <w:r w:rsidRPr="008364E2">
              <w:rPr>
                <w:rFonts w:ascii="Times New Roman" w:hAnsi="Times New Roman" w:cs="Times New Roman"/>
              </w:rPr>
              <w:t>0.3882</w:t>
            </w:r>
          </w:p>
        </w:tc>
        <w:tc>
          <w:tcPr>
            <w:tcW w:w="0" w:type="auto"/>
            <w:hideMark/>
          </w:tcPr>
          <w:p w14:paraId="4BD82FFD" w14:textId="77777777" w:rsidR="008364E2" w:rsidRPr="008364E2" w:rsidRDefault="008364E2" w:rsidP="008364E2">
            <w:pPr>
              <w:spacing w:after="160" w:line="278" w:lineRule="auto"/>
              <w:jc w:val="center"/>
              <w:rPr>
                <w:rFonts w:ascii="Times New Roman" w:hAnsi="Times New Roman" w:cs="Times New Roman"/>
              </w:rPr>
            </w:pPr>
            <w:r w:rsidRPr="008364E2">
              <w:rPr>
                <w:rFonts w:ascii="Times New Roman" w:hAnsi="Times New Roman" w:cs="Times New Roman"/>
              </w:rPr>
              <w:t>0.0995</w:t>
            </w:r>
          </w:p>
        </w:tc>
        <w:tc>
          <w:tcPr>
            <w:tcW w:w="0" w:type="auto"/>
            <w:hideMark/>
          </w:tcPr>
          <w:p w14:paraId="3FB5E9C8" w14:textId="77777777" w:rsidR="008364E2" w:rsidRPr="008364E2" w:rsidRDefault="008364E2" w:rsidP="008364E2">
            <w:pPr>
              <w:spacing w:after="160" w:line="278" w:lineRule="auto"/>
              <w:jc w:val="center"/>
              <w:rPr>
                <w:rFonts w:ascii="Times New Roman" w:hAnsi="Times New Roman" w:cs="Times New Roman"/>
              </w:rPr>
            </w:pPr>
            <w:r w:rsidRPr="008364E2">
              <w:rPr>
                <w:rFonts w:ascii="Times New Roman" w:hAnsi="Times New Roman" w:cs="Times New Roman"/>
              </w:rPr>
              <w:t>1.4871</w:t>
            </w:r>
          </w:p>
        </w:tc>
      </w:tr>
      <w:tr w:rsidR="008364E2" w:rsidRPr="008364E2" w14:paraId="51463E1B" w14:textId="77777777" w:rsidTr="008364E2">
        <w:trPr>
          <w:trHeight w:val="499"/>
        </w:trPr>
        <w:tc>
          <w:tcPr>
            <w:tcW w:w="0" w:type="auto"/>
            <w:hideMark/>
          </w:tcPr>
          <w:p w14:paraId="7E42F9D9" w14:textId="77777777" w:rsidR="008364E2" w:rsidRPr="008364E2" w:rsidRDefault="008364E2" w:rsidP="008364E2">
            <w:pPr>
              <w:spacing w:after="160" w:line="278" w:lineRule="auto"/>
              <w:jc w:val="center"/>
              <w:rPr>
                <w:rFonts w:ascii="Times New Roman" w:hAnsi="Times New Roman" w:cs="Times New Roman"/>
              </w:rPr>
            </w:pPr>
            <w:r w:rsidRPr="008364E2">
              <w:rPr>
                <w:rFonts w:ascii="Times New Roman" w:hAnsi="Times New Roman" w:cs="Times New Roman"/>
                <w:b/>
                <w:bCs/>
              </w:rPr>
              <w:t>5</w:t>
            </w:r>
          </w:p>
        </w:tc>
        <w:tc>
          <w:tcPr>
            <w:tcW w:w="2495" w:type="dxa"/>
            <w:hideMark/>
          </w:tcPr>
          <w:p w14:paraId="6A7800DA" w14:textId="77777777" w:rsidR="008364E2" w:rsidRPr="008364E2" w:rsidRDefault="008364E2" w:rsidP="008364E2">
            <w:pPr>
              <w:spacing w:after="160" w:line="278" w:lineRule="auto"/>
              <w:jc w:val="center"/>
              <w:rPr>
                <w:rFonts w:ascii="Times New Roman" w:hAnsi="Times New Roman" w:cs="Times New Roman"/>
              </w:rPr>
            </w:pPr>
            <w:r w:rsidRPr="008364E2">
              <w:rPr>
                <w:rFonts w:ascii="Times New Roman" w:hAnsi="Times New Roman" w:cs="Times New Roman"/>
              </w:rPr>
              <w:t>0.3286</w:t>
            </w:r>
          </w:p>
        </w:tc>
        <w:tc>
          <w:tcPr>
            <w:tcW w:w="2374" w:type="dxa"/>
            <w:hideMark/>
          </w:tcPr>
          <w:p w14:paraId="18C59153" w14:textId="77777777" w:rsidR="008364E2" w:rsidRPr="008364E2" w:rsidRDefault="008364E2" w:rsidP="008364E2">
            <w:pPr>
              <w:spacing w:after="160" w:line="278" w:lineRule="auto"/>
              <w:jc w:val="center"/>
              <w:rPr>
                <w:rFonts w:ascii="Times New Roman" w:hAnsi="Times New Roman" w:cs="Times New Roman"/>
              </w:rPr>
            </w:pPr>
            <w:r w:rsidRPr="008364E2">
              <w:rPr>
                <w:rFonts w:ascii="Times New Roman" w:hAnsi="Times New Roman" w:cs="Times New Roman"/>
              </w:rPr>
              <w:t>0.0176</w:t>
            </w:r>
          </w:p>
        </w:tc>
        <w:tc>
          <w:tcPr>
            <w:tcW w:w="0" w:type="auto"/>
            <w:hideMark/>
          </w:tcPr>
          <w:p w14:paraId="6E64E6BB" w14:textId="77777777" w:rsidR="008364E2" w:rsidRPr="008364E2" w:rsidRDefault="008364E2" w:rsidP="008364E2">
            <w:pPr>
              <w:spacing w:after="160" w:line="278" w:lineRule="auto"/>
              <w:jc w:val="center"/>
              <w:rPr>
                <w:rFonts w:ascii="Times New Roman" w:hAnsi="Times New Roman" w:cs="Times New Roman"/>
              </w:rPr>
            </w:pPr>
            <w:r w:rsidRPr="008364E2">
              <w:rPr>
                <w:rFonts w:ascii="Times New Roman" w:hAnsi="Times New Roman" w:cs="Times New Roman"/>
              </w:rPr>
              <w:t>0.0037</w:t>
            </w:r>
          </w:p>
        </w:tc>
        <w:tc>
          <w:tcPr>
            <w:tcW w:w="0" w:type="auto"/>
            <w:hideMark/>
          </w:tcPr>
          <w:p w14:paraId="2FF47C03" w14:textId="77777777" w:rsidR="008364E2" w:rsidRPr="008364E2" w:rsidRDefault="008364E2" w:rsidP="008364E2">
            <w:pPr>
              <w:spacing w:after="160" w:line="278" w:lineRule="auto"/>
              <w:jc w:val="center"/>
              <w:rPr>
                <w:rFonts w:ascii="Times New Roman" w:hAnsi="Times New Roman" w:cs="Times New Roman"/>
              </w:rPr>
            </w:pPr>
            <w:r w:rsidRPr="008364E2">
              <w:rPr>
                <w:rFonts w:ascii="Times New Roman" w:hAnsi="Times New Roman" w:cs="Times New Roman"/>
              </w:rPr>
              <w:t>1.0476</w:t>
            </w:r>
          </w:p>
        </w:tc>
      </w:tr>
    </w:tbl>
    <w:p w14:paraId="17C6B1E1" w14:textId="77777777" w:rsidR="00E2022E" w:rsidRDefault="00E2022E" w:rsidP="00E2022E">
      <w:pPr>
        <w:rPr>
          <w:rFonts w:ascii="Times New Roman" w:hAnsi="Times New Roman" w:cs="Times New Roman"/>
          <w:b/>
          <w:bCs/>
        </w:rPr>
      </w:pPr>
    </w:p>
    <w:p w14:paraId="01F4F44E" w14:textId="05BBFC32" w:rsidR="00E2022E" w:rsidRPr="00E2022E" w:rsidRDefault="00E2022E" w:rsidP="00BF0C80">
      <w:pPr>
        <w:jc w:val="center"/>
        <w:rPr>
          <w:rFonts w:ascii="Times New Roman" w:hAnsi="Times New Roman" w:cs="Times New Roman"/>
          <w:b/>
          <w:bCs/>
        </w:rPr>
      </w:pPr>
      <w:r w:rsidRPr="00E2022E">
        <w:rPr>
          <w:rFonts w:ascii="Times New Roman" w:hAnsi="Times New Roman" w:cs="Times New Roman"/>
          <w:b/>
          <w:bCs/>
        </w:rPr>
        <w:t>3. Value at Risk (VaR) – 99% Confidence Level</w:t>
      </w:r>
    </w:p>
    <w:tbl>
      <w:tblPr>
        <w:tblStyle w:val="TableGrid"/>
        <w:tblW w:w="4808" w:type="dxa"/>
        <w:tblInd w:w="2098" w:type="dxa"/>
        <w:tblLook w:val="04A0" w:firstRow="1" w:lastRow="0" w:firstColumn="1" w:lastColumn="0" w:noHBand="0" w:noVBand="1"/>
      </w:tblPr>
      <w:tblGrid>
        <w:gridCol w:w="1123"/>
        <w:gridCol w:w="3685"/>
      </w:tblGrid>
      <w:tr w:rsidR="00E2022E" w:rsidRPr="00E2022E" w14:paraId="6BB43CA6" w14:textId="77777777" w:rsidTr="00BF0C80">
        <w:trPr>
          <w:trHeight w:val="490"/>
        </w:trPr>
        <w:tc>
          <w:tcPr>
            <w:tcW w:w="0" w:type="auto"/>
            <w:hideMark/>
          </w:tcPr>
          <w:p w14:paraId="2D4CF5AE" w14:textId="77777777" w:rsidR="00E2022E" w:rsidRPr="00E2022E" w:rsidRDefault="00E2022E" w:rsidP="00E2022E">
            <w:pPr>
              <w:spacing w:after="160" w:line="278" w:lineRule="auto"/>
              <w:jc w:val="center"/>
              <w:rPr>
                <w:rFonts w:ascii="Times New Roman" w:hAnsi="Times New Roman" w:cs="Times New Roman"/>
                <w:b/>
                <w:bCs/>
              </w:rPr>
            </w:pPr>
            <w:r w:rsidRPr="00E2022E">
              <w:rPr>
                <w:rFonts w:ascii="Times New Roman" w:hAnsi="Times New Roman" w:cs="Times New Roman"/>
                <w:b/>
                <w:bCs/>
              </w:rPr>
              <w:t>Cluster</w:t>
            </w:r>
          </w:p>
        </w:tc>
        <w:tc>
          <w:tcPr>
            <w:tcW w:w="0" w:type="auto"/>
            <w:hideMark/>
          </w:tcPr>
          <w:p w14:paraId="7C79E788" w14:textId="77777777" w:rsidR="00E2022E" w:rsidRPr="00E2022E" w:rsidRDefault="00E2022E" w:rsidP="00E2022E">
            <w:pPr>
              <w:spacing w:after="160" w:line="278" w:lineRule="auto"/>
              <w:jc w:val="center"/>
              <w:rPr>
                <w:rFonts w:ascii="Times New Roman" w:hAnsi="Times New Roman" w:cs="Times New Roman"/>
                <w:b/>
                <w:bCs/>
              </w:rPr>
            </w:pPr>
            <w:r w:rsidRPr="00E2022E">
              <w:rPr>
                <w:rFonts w:ascii="Times New Roman" w:hAnsi="Times New Roman" w:cs="Times New Roman"/>
                <w:b/>
                <w:bCs/>
              </w:rPr>
              <w:t>VaR (99% Confidence Level)</w:t>
            </w:r>
          </w:p>
        </w:tc>
      </w:tr>
      <w:tr w:rsidR="00E2022E" w:rsidRPr="00E2022E" w14:paraId="5F31932F" w14:textId="77777777" w:rsidTr="00BF0C80">
        <w:trPr>
          <w:trHeight w:val="490"/>
        </w:trPr>
        <w:tc>
          <w:tcPr>
            <w:tcW w:w="0" w:type="auto"/>
            <w:hideMark/>
          </w:tcPr>
          <w:p w14:paraId="7C878A09" w14:textId="77777777" w:rsidR="00E2022E" w:rsidRPr="00E2022E" w:rsidRDefault="00E2022E" w:rsidP="00E2022E">
            <w:pPr>
              <w:spacing w:after="160" w:line="278" w:lineRule="auto"/>
              <w:jc w:val="center"/>
              <w:rPr>
                <w:rFonts w:ascii="Times New Roman" w:hAnsi="Times New Roman" w:cs="Times New Roman"/>
              </w:rPr>
            </w:pPr>
            <w:r w:rsidRPr="00E2022E">
              <w:rPr>
                <w:rFonts w:ascii="Times New Roman" w:hAnsi="Times New Roman" w:cs="Times New Roman"/>
                <w:b/>
                <w:bCs/>
              </w:rPr>
              <w:t>0</w:t>
            </w:r>
          </w:p>
        </w:tc>
        <w:tc>
          <w:tcPr>
            <w:tcW w:w="0" w:type="auto"/>
            <w:hideMark/>
          </w:tcPr>
          <w:p w14:paraId="76C78476" w14:textId="77777777" w:rsidR="00E2022E" w:rsidRPr="00E2022E" w:rsidRDefault="00E2022E" w:rsidP="00E2022E">
            <w:pPr>
              <w:spacing w:after="160" w:line="278" w:lineRule="auto"/>
              <w:jc w:val="center"/>
              <w:rPr>
                <w:rFonts w:ascii="Times New Roman" w:hAnsi="Times New Roman" w:cs="Times New Roman"/>
              </w:rPr>
            </w:pPr>
            <w:r w:rsidRPr="00E2022E">
              <w:rPr>
                <w:rFonts w:ascii="Times New Roman" w:hAnsi="Times New Roman" w:cs="Times New Roman"/>
              </w:rPr>
              <w:t>-0.0726</w:t>
            </w:r>
          </w:p>
        </w:tc>
      </w:tr>
      <w:tr w:rsidR="00E2022E" w:rsidRPr="00E2022E" w14:paraId="6C7579DA" w14:textId="77777777" w:rsidTr="00BF0C80">
        <w:trPr>
          <w:trHeight w:val="490"/>
        </w:trPr>
        <w:tc>
          <w:tcPr>
            <w:tcW w:w="0" w:type="auto"/>
            <w:hideMark/>
          </w:tcPr>
          <w:p w14:paraId="0BE856B5" w14:textId="77777777" w:rsidR="00E2022E" w:rsidRPr="00E2022E" w:rsidRDefault="00E2022E" w:rsidP="00E2022E">
            <w:pPr>
              <w:spacing w:after="160" w:line="278" w:lineRule="auto"/>
              <w:jc w:val="center"/>
              <w:rPr>
                <w:rFonts w:ascii="Times New Roman" w:hAnsi="Times New Roman" w:cs="Times New Roman"/>
              </w:rPr>
            </w:pPr>
            <w:r w:rsidRPr="00E2022E">
              <w:rPr>
                <w:rFonts w:ascii="Times New Roman" w:hAnsi="Times New Roman" w:cs="Times New Roman"/>
                <w:b/>
                <w:bCs/>
              </w:rPr>
              <w:t>1</w:t>
            </w:r>
          </w:p>
        </w:tc>
        <w:tc>
          <w:tcPr>
            <w:tcW w:w="0" w:type="auto"/>
            <w:hideMark/>
          </w:tcPr>
          <w:p w14:paraId="6B530F0E" w14:textId="77777777" w:rsidR="00E2022E" w:rsidRPr="00E2022E" w:rsidRDefault="00E2022E" w:rsidP="00E2022E">
            <w:pPr>
              <w:spacing w:after="160" w:line="278" w:lineRule="auto"/>
              <w:jc w:val="center"/>
              <w:rPr>
                <w:rFonts w:ascii="Times New Roman" w:hAnsi="Times New Roman" w:cs="Times New Roman"/>
              </w:rPr>
            </w:pPr>
            <w:r w:rsidRPr="00E2022E">
              <w:rPr>
                <w:rFonts w:ascii="Times New Roman" w:hAnsi="Times New Roman" w:cs="Times New Roman"/>
              </w:rPr>
              <w:t>-0.0257</w:t>
            </w:r>
          </w:p>
        </w:tc>
      </w:tr>
      <w:tr w:rsidR="00E2022E" w:rsidRPr="00E2022E" w14:paraId="26050101" w14:textId="77777777" w:rsidTr="00BF0C80">
        <w:trPr>
          <w:trHeight w:val="490"/>
        </w:trPr>
        <w:tc>
          <w:tcPr>
            <w:tcW w:w="0" w:type="auto"/>
            <w:hideMark/>
          </w:tcPr>
          <w:p w14:paraId="71D0A471" w14:textId="77777777" w:rsidR="00E2022E" w:rsidRPr="00E2022E" w:rsidRDefault="00E2022E" w:rsidP="00E2022E">
            <w:pPr>
              <w:spacing w:after="160" w:line="278" w:lineRule="auto"/>
              <w:jc w:val="center"/>
              <w:rPr>
                <w:rFonts w:ascii="Times New Roman" w:hAnsi="Times New Roman" w:cs="Times New Roman"/>
              </w:rPr>
            </w:pPr>
            <w:r w:rsidRPr="00E2022E">
              <w:rPr>
                <w:rFonts w:ascii="Times New Roman" w:hAnsi="Times New Roman" w:cs="Times New Roman"/>
                <w:b/>
                <w:bCs/>
              </w:rPr>
              <w:t>2</w:t>
            </w:r>
          </w:p>
        </w:tc>
        <w:tc>
          <w:tcPr>
            <w:tcW w:w="0" w:type="auto"/>
            <w:hideMark/>
          </w:tcPr>
          <w:p w14:paraId="6C4173D1" w14:textId="77777777" w:rsidR="00E2022E" w:rsidRPr="00E2022E" w:rsidRDefault="00E2022E" w:rsidP="00E2022E">
            <w:pPr>
              <w:spacing w:after="160" w:line="278" w:lineRule="auto"/>
              <w:jc w:val="center"/>
              <w:rPr>
                <w:rFonts w:ascii="Times New Roman" w:hAnsi="Times New Roman" w:cs="Times New Roman"/>
              </w:rPr>
            </w:pPr>
            <w:r w:rsidRPr="00E2022E">
              <w:rPr>
                <w:rFonts w:ascii="Times New Roman" w:hAnsi="Times New Roman" w:cs="Times New Roman"/>
              </w:rPr>
              <w:t>-0.0555</w:t>
            </w:r>
          </w:p>
        </w:tc>
      </w:tr>
      <w:tr w:rsidR="00E2022E" w:rsidRPr="00E2022E" w14:paraId="1A6509D9" w14:textId="77777777" w:rsidTr="00BF0C80">
        <w:trPr>
          <w:trHeight w:val="490"/>
        </w:trPr>
        <w:tc>
          <w:tcPr>
            <w:tcW w:w="0" w:type="auto"/>
            <w:hideMark/>
          </w:tcPr>
          <w:p w14:paraId="29044261" w14:textId="77777777" w:rsidR="00E2022E" w:rsidRPr="00E2022E" w:rsidRDefault="00E2022E" w:rsidP="00E2022E">
            <w:pPr>
              <w:spacing w:after="160" w:line="278" w:lineRule="auto"/>
              <w:jc w:val="center"/>
              <w:rPr>
                <w:rFonts w:ascii="Times New Roman" w:hAnsi="Times New Roman" w:cs="Times New Roman"/>
              </w:rPr>
            </w:pPr>
            <w:r w:rsidRPr="00E2022E">
              <w:rPr>
                <w:rFonts w:ascii="Times New Roman" w:hAnsi="Times New Roman" w:cs="Times New Roman"/>
                <w:b/>
                <w:bCs/>
              </w:rPr>
              <w:t>3</w:t>
            </w:r>
          </w:p>
        </w:tc>
        <w:tc>
          <w:tcPr>
            <w:tcW w:w="0" w:type="auto"/>
            <w:hideMark/>
          </w:tcPr>
          <w:p w14:paraId="237353DD" w14:textId="77777777" w:rsidR="00E2022E" w:rsidRPr="00E2022E" w:rsidRDefault="00E2022E" w:rsidP="00E2022E">
            <w:pPr>
              <w:spacing w:after="160" w:line="278" w:lineRule="auto"/>
              <w:jc w:val="center"/>
              <w:rPr>
                <w:rFonts w:ascii="Times New Roman" w:hAnsi="Times New Roman" w:cs="Times New Roman"/>
              </w:rPr>
            </w:pPr>
            <w:r w:rsidRPr="00E2022E">
              <w:rPr>
                <w:rFonts w:ascii="Times New Roman" w:hAnsi="Times New Roman" w:cs="Times New Roman"/>
              </w:rPr>
              <w:t>-0.0408</w:t>
            </w:r>
          </w:p>
        </w:tc>
      </w:tr>
      <w:tr w:rsidR="00E2022E" w:rsidRPr="00E2022E" w14:paraId="592EDDA3" w14:textId="77777777" w:rsidTr="00BF0C80">
        <w:trPr>
          <w:trHeight w:val="490"/>
        </w:trPr>
        <w:tc>
          <w:tcPr>
            <w:tcW w:w="0" w:type="auto"/>
            <w:hideMark/>
          </w:tcPr>
          <w:p w14:paraId="31378507" w14:textId="77777777" w:rsidR="00E2022E" w:rsidRPr="00E2022E" w:rsidRDefault="00E2022E" w:rsidP="00E2022E">
            <w:pPr>
              <w:spacing w:after="160" w:line="278" w:lineRule="auto"/>
              <w:jc w:val="center"/>
              <w:rPr>
                <w:rFonts w:ascii="Times New Roman" w:hAnsi="Times New Roman" w:cs="Times New Roman"/>
              </w:rPr>
            </w:pPr>
            <w:r w:rsidRPr="00E2022E">
              <w:rPr>
                <w:rFonts w:ascii="Times New Roman" w:hAnsi="Times New Roman" w:cs="Times New Roman"/>
                <w:b/>
                <w:bCs/>
              </w:rPr>
              <w:t>4</w:t>
            </w:r>
          </w:p>
        </w:tc>
        <w:tc>
          <w:tcPr>
            <w:tcW w:w="0" w:type="auto"/>
            <w:hideMark/>
          </w:tcPr>
          <w:p w14:paraId="39F7240D" w14:textId="77777777" w:rsidR="00E2022E" w:rsidRPr="00E2022E" w:rsidRDefault="00E2022E" w:rsidP="00E2022E">
            <w:pPr>
              <w:spacing w:after="160" w:line="278" w:lineRule="auto"/>
              <w:jc w:val="center"/>
              <w:rPr>
                <w:rFonts w:ascii="Times New Roman" w:hAnsi="Times New Roman" w:cs="Times New Roman"/>
              </w:rPr>
            </w:pPr>
            <w:r w:rsidRPr="00E2022E">
              <w:rPr>
                <w:rFonts w:ascii="Times New Roman" w:hAnsi="Times New Roman" w:cs="Times New Roman"/>
              </w:rPr>
              <w:t>-0.0584</w:t>
            </w:r>
          </w:p>
        </w:tc>
      </w:tr>
      <w:tr w:rsidR="00E2022E" w:rsidRPr="00E2022E" w14:paraId="0997E6A9" w14:textId="77777777" w:rsidTr="00BF0C80">
        <w:trPr>
          <w:trHeight w:val="490"/>
        </w:trPr>
        <w:tc>
          <w:tcPr>
            <w:tcW w:w="0" w:type="auto"/>
            <w:hideMark/>
          </w:tcPr>
          <w:p w14:paraId="75F9AB06" w14:textId="77777777" w:rsidR="00E2022E" w:rsidRPr="00E2022E" w:rsidRDefault="00E2022E" w:rsidP="00E2022E">
            <w:pPr>
              <w:spacing w:after="160" w:line="278" w:lineRule="auto"/>
              <w:jc w:val="center"/>
              <w:rPr>
                <w:rFonts w:ascii="Times New Roman" w:hAnsi="Times New Roman" w:cs="Times New Roman"/>
              </w:rPr>
            </w:pPr>
            <w:r w:rsidRPr="00E2022E">
              <w:rPr>
                <w:rFonts w:ascii="Times New Roman" w:hAnsi="Times New Roman" w:cs="Times New Roman"/>
                <w:b/>
                <w:bCs/>
              </w:rPr>
              <w:t>5</w:t>
            </w:r>
          </w:p>
        </w:tc>
        <w:tc>
          <w:tcPr>
            <w:tcW w:w="0" w:type="auto"/>
            <w:hideMark/>
          </w:tcPr>
          <w:p w14:paraId="06230C34" w14:textId="77777777" w:rsidR="00E2022E" w:rsidRPr="00E2022E" w:rsidRDefault="00E2022E" w:rsidP="00E2022E">
            <w:pPr>
              <w:spacing w:after="160" w:line="278" w:lineRule="auto"/>
              <w:jc w:val="center"/>
              <w:rPr>
                <w:rFonts w:ascii="Times New Roman" w:hAnsi="Times New Roman" w:cs="Times New Roman"/>
              </w:rPr>
            </w:pPr>
            <w:r w:rsidRPr="00E2022E">
              <w:rPr>
                <w:rFonts w:ascii="Times New Roman" w:hAnsi="Times New Roman" w:cs="Times New Roman"/>
              </w:rPr>
              <w:t>-0.0349</w:t>
            </w:r>
          </w:p>
        </w:tc>
      </w:tr>
    </w:tbl>
    <w:p w14:paraId="55998396" w14:textId="77777777" w:rsidR="008364E2" w:rsidRDefault="008364E2" w:rsidP="00ED37EB">
      <w:pPr>
        <w:jc w:val="center"/>
        <w:rPr>
          <w:rFonts w:ascii="Times New Roman" w:hAnsi="Times New Roman" w:cs="Times New Roman"/>
        </w:rPr>
      </w:pPr>
    </w:p>
    <w:p w14:paraId="2160A44D" w14:textId="77777777" w:rsidR="004B3B1E" w:rsidRDefault="004B3B1E" w:rsidP="004B3B1E">
      <w:pPr>
        <w:jc w:val="center"/>
        <w:rPr>
          <w:rFonts w:ascii="Times New Roman" w:hAnsi="Times New Roman" w:cs="Times New Roman"/>
          <w:b/>
          <w:bCs/>
        </w:rPr>
      </w:pPr>
    </w:p>
    <w:p w14:paraId="7E8E1232" w14:textId="09DA93B1" w:rsidR="004B3B1E" w:rsidRPr="004B3B1E" w:rsidRDefault="004B3B1E" w:rsidP="004B3B1E">
      <w:pPr>
        <w:jc w:val="center"/>
        <w:rPr>
          <w:rFonts w:ascii="Times New Roman" w:hAnsi="Times New Roman" w:cs="Times New Roman"/>
          <w:b/>
          <w:bCs/>
        </w:rPr>
      </w:pPr>
      <w:r>
        <w:rPr>
          <w:rFonts w:ascii="Times New Roman" w:hAnsi="Times New Roman" w:cs="Times New Roman"/>
          <w:b/>
          <w:bCs/>
        </w:rPr>
        <w:lastRenderedPageBreak/>
        <w:t>4.</w:t>
      </w:r>
      <w:r w:rsidRPr="004B3B1E">
        <w:rPr>
          <w:rFonts w:ascii="Times New Roman" w:hAnsi="Times New Roman" w:cs="Times New Roman"/>
          <w:b/>
          <w:bCs/>
        </w:rPr>
        <w:t>Cumulative returns of optimised Cluster Portfolios</w:t>
      </w:r>
    </w:p>
    <w:tbl>
      <w:tblPr>
        <w:tblStyle w:val="TableGrid"/>
        <w:tblpPr w:leftFromText="180" w:rightFromText="180" w:vertAnchor="page" w:horzAnchor="margin" w:tblpXSpec="center" w:tblpY="2009"/>
        <w:tblW w:w="4967" w:type="dxa"/>
        <w:tblLook w:val="04A0" w:firstRow="1" w:lastRow="0" w:firstColumn="1" w:lastColumn="0" w:noHBand="0" w:noVBand="1"/>
      </w:tblPr>
      <w:tblGrid>
        <w:gridCol w:w="1299"/>
        <w:gridCol w:w="3668"/>
      </w:tblGrid>
      <w:tr w:rsidR="004B3B1E" w:rsidRPr="00DA50AF" w14:paraId="0849BD00" w14:textId="77777777" w:rsidTr="004B3B1E">
        <w:trPr>
          <w:trHeight w:val="258"/>
        </w:trPr>
        <w:tc>
          <w:tcPr>
            <w:tcW w:w="0" w:type="auto"/>
            <w:hideMark/>
          </w:tcPr>
          <w:p w14:paraId="5D66828E" w14:textId="77777777" w:rsidR="004B3B1E" w:rsidRPr="00DA50AF" w:rsidRDefault="004B3B1E" w:rsidP="004B3B1E">
            <w:pPr>
              <w:spacing w:after="160" w:line="278" w:lineRule="auto"/>
              <w:jc w:val="center"/>
              <w:rPr>
                <w:rFonts w:ascii="Times New Roman" w:hAnsi="Times New Roman" w:cs="Times New Roman"/>
                <w:b/>
                <w:bCs/>
              </w:rPr>
            </w:pPr>
            <w:r w:rsidRPr="00DA50AF">
              <w:rPr>
                <w:rFonts w:ascii="Times New Roman" w:hAnsi="Times New Roman" w:cs="Times New Roman"/>
                <w:b/>
                <w:bCs/>
              </w:rPr>
              <w:t>Cluster</w:t>
            </w:r>
          </w:p>
        </w:tc>
        <w:tc>
          <w:tcPr>
            <w:tcW w:w="0" w:type="auto"/>
            <w:hideMark/>
          </w:tcPr>
          <w:p w14:paraId="40AB5787" w14:textId="77777777" w:rsidR="004B3B1E" w:rsidRPr="00DA50AF" w:rsidRDefault="004B3B1E" w:rsidP="004B3B1E">
            <w:pPr>
              <w:spacing w:after="160" w:line="278" w:lineRule="auto"/>
              <w:jc w:val="center"/>
              <w:rPr>
                <w:rFonts w:ascii="Times New Roman" w:hAnsi="Times New Roman" w:cs="Times New Roman"/>
                <w:b/>
                <w:bCs/>
              </w:rPr>
            </w:pPr>
            <w:r w:rsidRPr="00DA50AF">
              <w:rPr>
                <w:rFonts w:ascii="Times New Roman" w:hAnsi="Times New Roman" w:cs="Times New Roman"/>
                <w:b/>
                <w:bCs/>
              </w:rPr>
              <w:t>Final Cumulative Return (%)</w:t>
            </w:r>
          </w:p>
        </w:tc>
      </w:tr>
      <w:tr w:rsidR="004B3B1E" w:rsidRPr="00DA50AF" w14:paraId="61770E7F" w14:textId="77777777" w:rsidTr="004B3B1E">
        <w:trPr>
          <w:trHeight w:val="258"/>
        </w:trPr>
        <w:tc>
          <w:tcPr>
            <w:tcW w:w="0" w:type="auto"/>
            <w:hideMark/>
          </w:tcPr>
          <w:p w14:paraId="0FE44C25" w14:textId="77777777" w:rsidR="004B3B1E" w:rsidRPr="00DA50AF" w:rsidRDefault="004B3B1E" w:rsidP="004B3B1E">
            <w:pPr>
              <w:spacing w:after="160" w:line="278" w:lineRule="auto"/>
              <w:jc w:val="center"/>
              <w:rPr>
                <w:rFonts w:ascii="Times New Roman" w:hAnsi="Times New Roman" w:cs="Times New Roman"/>
              </w:rPr>
            </w:pPr>
            <w:r w:rsidRPr="00DA50AF">
              <w:rPr>
                <w:rFonts w:ascii="Times New Roman" w:hAnsi="Times New Roman" w:cs="Times New Roman"/>
                <w:b/>
                <w:bCs/>
              </w:rPr>
              <w:t>0</w:t>
            </w:r>
          </w:p>
        </w:tc>
        <w:tc>
          <w:tcPr>
            <w:tcW w:w="0" w:type="auto"/>
            <w:hideMark/>
          </w:tcPr>
          <w:p w14:paraId="4449E22F" w14:textId="77777777" w:rsidR="004B3B1E" w:rsidRPr="00DA50AF" w:rsidRDefault="004B3B1E" w:rsidP="004B3B1E">
            <w:pPr>
              <w:spacing w:after="160" w:line="278" w:lineRule="auto"/>
              <w:jc w:val="center"/>
              <w:rPr>
                <w:rFonts w:ascii="Times New Roman" w:hAnsi="Times New Roman" w:cs="Times New Roman"/>
              </w:rPr>
            </w:pPr>
            <w:r w:rsidRPr="00DA50AF">
              <w:rPr>
                <w:rFonts w:ascii="Times New Roman" w:hAnsi="Times New Roman" w:cs="Times New Roman"/>
              </w:rPr>
              <w:t>-41.67%</w:t>
            </w:r>
          </w:p>
        </w:tc>
      </w:tr>
      <w:tr w:rsidR="004B3B1E" w:rsidRPr="00DA50AF" w14:paraId="75863058" w14:textId="77777777" w:rsidTr="004B3B1E">
        <w:trPr>
          <w:trHeight w:val="258"/>
        </w:trPr>
        <w:tc>
          <w:tcPr>
            <w:tcW w:w="0" w:type="auto"/>
            <w:hideMark/>
          </w:tcPr>
          <w:p w14:paraId="2F740DC8" w14:textId="77777777" w:rsidR="004B3B1E" w:rsidRPr="00DA50AF" w:rsidRDefault="004B3B1E" w:rsidP="004B3B1E">
            <w:pPr>
              <w:spacing w:after="160" w:line="278" w:lineRule="auto"/>
              <w:jc w:val="center"/>
              <w:rPr>
                <w:rFonts w:ascii="Times New Roman" w:hAnsi="Times New Roman" w:cs="Times New Roman"/>
              </w:rPr>
            </w:pPr>
            <w:r w:rsidRPr="00DA50AF">
              <w:rPr>
                <w:rFonts w:ascii="Times New Roman" w:hAnsi="Times New Roman" w:cs="Times New Roman"/>
                <w:b/>
                <w:bCs/>
              </w:rPr>
              <w:t>1</w:t>
            </w:r>
          </w:p>
        </w:tc>
        <w:tc>
          <w:tcPr>
            <w:tcW w:w="0" w:type="auto"/>
            <w:hideMark/>
          </w:tcPr>
          <w:p w14:paraId="12417DDD" w14:textId="77777777" w:rsidR="004B3B1E" w:rsidRPr="00DA50AF" w:rsidRDefault="004B3B1E" w:rsidP="004B3B1E">
            <w:pPr>
              <w:spacing w:after="160" w:line="278" w:lineRule="auto"/>
              <w:jc w:val="center"/>
              <w:rPr>
                <w:rFonts w:ascii="Times New Roman" w:hAnsi="Times New Roman" w:cs="Times New Roman"/>
              </w:rPr>
            </w:pPr>
            <w:r w:rsidRPr="00DA50AF">
              <w:rPr>
                <w:rFonts w:ascii="Times New Roman" w:hAnsi="Times New Roman" w:cs="Times New Roman"/>
              </w:rPr>
              <w:t>55.36%</w:t>
            </w:r>
          </w:p>
        </w:tc>
      </w:tr>
      <w:tr w:rsidR="004B3B1E" w:rsidRPr="00DA50AF" w14:paraId="48010D18" w14:textId="77777777" w:rsidTr="004B3B1E">
        <w:trPr>
          <w:trHeight w:val="258"/>
        </w:trPr>
        <w:tc>
          <w:tcPr>
            <w:tcW w:w="0" w:type="auto"/>
            <w:hideMark/>
          </w:tcPr>
          <w:p w14:paraId="37F98E7D" w14:textId="77777777" w:rsidR="004B3B1E" w:rsidRPr="00DA50AF" w:rsidRDefault="004B3B1E" w:rsidP="004B3B1E">
            <w:pPr>
              <w:spacing w:after="160" w:line="278" w:lineRule="auto"/>
              <w:jc w:val="center"/>
              <w:rPr>
                <w:rFonts w:ascii="Times New Roman" w:hAnsi="Times New Roman" w:cs="Times New Roman"/>
              </w:rPr>
            </w:pPr>
            <w:r w:rsidRPr="00DA50AF">
              <w:rPr>
                <w:rFonts w:ascii="Times New Roman" w:hAnsi="Times New Roman" w:cs="Times New Roman"/>
                <w:b/>
                <w:bCs/>
              </w:rPr>
              <w:t>2</w:t>
            </w:r>
          </w:p>
        </w:tc>
        <w:tc>
          <w:tcPr>
            <w:tcW w:w="0" w:type="auto"/>
            <w:hideMark/>
          </w:tcPr>
          <w:p w14:paraId="7BDC2840" w14:textId="77777777" w:rsidR="004B3B1E" w:rsidRPr="00DA50AF" w:rsidRDefault="004B3B1E" w:rsidP="004B3B1E">
            <w:pPr>
              <w:spacing w:after="160" w:line="278" w:lineRule="auto"/>
              <w:jc w:val="center"/>
              <w:rPr>
                <w:rFonts w:ascii="Times New Roman" w:hAnsi="Times New Roman" w:cs="Times New Roman"/>
              </w:rPr>
            </w:pPr>
            <w:r w:rsidRPr="00DA50AF">
              <w:rPr>
                <w:rFonts w:ascii="Times New Roman" w:hAnsi="Times New Roman" w:cs="Times New Roman"/>
              </w:rPr>
              <w:t>43.96%</w:t>
            </w:r>
          </w:p>
        </w:tc>
      </w:tr>
      <w:tr w:rsidR="004B3B1E" w:rsidRPr="00DA50AF" w14:paraId="2FE58B1F" w14:textId="77777777" w:rsidTr="004B3B1E">
        <w:trPr>
          <w:trHeight w:val="258"/>
        </w:trPr>
        <w:tc>
          <w:tcPr>
            <w:tcW w:w="0" w:type="auto"/>
            <w:hideMark/>
          </w:tcPr>
          <w:p w14:paraId="6B6036A5" w14:textId="77777777" w:rsidR="004B3B1E" w:rsidRPr="00DA50AF" w:rsidRDefault="004B3B1E" w:rsidP="004B3B1E">
            <w:pPr>
              <w:spacing w:after="160" w:line="278" w:lineRule="auto"/>
              <w:jc w:val="center"/>
              <w:rPr>
                <w:rFonts w:ascii="Times New Roman" w:hAnsi="Times New Roman" w:cs="Times New Roman"/>
              </w:rPr>
            </w:pPr>
            <w:r w:rsidRPr="00DA50AF">
              <w:rPr>
                <w:rFonts w:ascii="Times New Roman" w:hAnsi="Times New Roman" w:cs="Times New Roman"/>
                <w:b/>
                <w:bCs/>
              </w:rPr>
              <w:t>3</w:t>
            </w:r>
          </w:p>
        </w:tc>
        <w:tc>
          <w:tcPr>
            <w:tcW w:w="0" w:type="auto"/>
            <w:hideMark/>
          </w:tcPr>
          <w:p w14:paraId="651D4B7B" w14:textId="77777777" w:rsidR="004B3B1E" w:rsidRPr="00DA50AF" w:rsidRDefault="004B3B1E" w:rsidP="004B3B1E">
            <w:pPr>
              <w:spacing w:after="160" w:line="278" w:lineRule="auto"/>
              <w:jc w:val="center"/>
              <w:rPr>
                <w:rFonts w:ascii="Times New Roman" w:hAnsi="Times New Roman" w:cs="Times New Roman"/>
              </w:rPr>
            </w:pPr>
            <w:r w:rsidRPr="00DA50AF">
              <w:rPr>
                <w:rFonts w:ascii="Times New Roman" w:hAnsi="Times New Roman" w:cs="Times New Roman"/>
              </w:rPr>
              <w:t>69.46%</w:t>
            </w:r>
          </w:p>
        </w:tc>
      </w:tr>
      <w:tr w:rsidR="004B3B1E" w:rsidRPr="00DA50AF" w14:paraId="314A9AF4" w14:textId="77777777" w:rsidTr="004B3B1E">
        <w:trPr>
          <w:trHeight w:val="258"/>
        </w:trPr>
        <w:tc>
          <w:tcPr>
            <w:tcW w:w="0" w:type="auto"/>
            <w:hideMark/>
          </w:tcPr>
          <w:p w14:paraId="1416EB26" w14:textId="77777777" w:rsidR="004B3B1E" w:rsidRPr="00DA50AF" w:rsidRDefault="004B3B1E" w:rsidP="004B3B1E">
            <w:pPr>
              <w:spacing w:after="160" w:line="278" w:lineRule="auto"/>
              <w:jc w:val="center"/>
              <w:rPr>
                <w:rFonts w:ascii="Times New Roman" w:hAnsi="Times New Roman" w:cs="Times New Roman"/>
              </w:rPr>
            </w:pPr>
            <w:r w:rsidRPr="00DA50AF">
              <w:rPr>
                <w:rFonts w:ascii="Times New Roman" w:hAnsi="Times New Roman" w:cs="Times New Roman"/>
                <w:b/>
                <w:bCs/>
              </w:rPr>
              <w:t>4</w:t>
            </w:r>
          </w:p>
        </w:tc>
        <w:tc>
          <w:tcPr>
            <w:tcW w:w="0" w:type="auto"/>
            <w:hideMark/>
          </w:tcPr>
          <w:p w14:paraId="4E47BDD6" w14:textId="77777777" w:rsidR="004B3B1E" w:rsidRPr="00DA50AF" w:rsidRDefault="004B3B1E" w:rsidP="004B3B1E">
            <w:pPr>
              <w:spacing w:after="160" w:line="278" w:lineRule="auto"/>
              <w:jc w:val="center"/>
              <w:rPr>
                <w:rFonts w:ascii="Times New Roman" w:hAnsi="Times New Roman" w:cs="Times New Roman"/>
              </w:rPr>
            </w:pPr>
            <w:r w:rsidRPr="00DA50AF">
              <w:rPr>
                <w:rFonts w:ascii="Times New Roman" w:hAnsi="Times New Roman" w:cs="Times New Roman"/>
              </w:rPr>
              <w:t>65.12%</w:t>
            </w:r>
          </w:p>
        </w:tc>
      </w:tr>
      <w:tr w:rsidR="004B3B1E" w:rsidRPr="00DA50AF" w14:paraId="1BDC2BBF" w14:textId="77777777" w:rsidTr="004B3B1E">
        <w:trPr>
          <w:trHeight w:val="258"/>
        </w:trPr>
        <w:tc>
          <w:tcPr>
            <w:tcW w:w="0" w:type="auto"/>
            <w:hideMark/>
          </w:tcPr>
          <w:p w14:paraId="16273ED0" w14:textId="77777777" w:rsidR="004B3B1E" w:rsidRPr="00DA50AF" w:rsidRDefault="004B3B1E" w:rsidP="004B3B1E">
            <w:pPr>
              <w:spacing w:after="160" w:line="278" w:lineRule="auto"/>
              <w:jc w:val="center"/>
              <w:rPr>
                <w:rFonts w:ascii="Times New Roman" w:hAnsi="Times New Roman" w:cs="Times New Roman"/>
              </w:rPr>
            </w:pPr>
            <w:r w:rsidRPr="00DA50AF">
              <w:rPr>
                <w:rFonts w:ascii="Times New Roman" w:hAnsi="Times New Roman" w:cs="Times New Roman"/>
                <w:b/>
                <w:bCs/>
              </w:rPr>
              <w:t>5</w:t>
            </w:r>
          </w:p>
        </w:tc>
        <w:tc>
          <w:tcPr>
            <w:tcW w:w="0" w:type="auto"/>
            <w:hideMark/>
          </w:tcPr>
          <w:p w14:paraId="7AA15F91" w14:textId="77777777" w:rsidR="004B3B1E" w:rsidRPr="00DA50AF" w:rsidRDefault="004B3B1E" w:rsidP="004B3B1E">
            <w:pPr>
              <w:spacing w:after="160" w:line="278" w:lineRule="auto"/>
              <w:jc w:val="center"/>
              <w:rPr>
                <w:rFonts w:ascii="Times New Roman" w:hAnsi="Times New Roman" w:cs="Times New Roman"/>
              </w:rPr>
            </w:pPr>
            <w:r w:rsidRPr="00DA50AF">
              <w:rPr>
                <w:rFonts w:ascii="Times New Roman" w:hAnsi="Times New Roman" w:cs="Times New Roman"/>
              </w:rPr>
              <w:t>21.61%</w:t>
            </w:r>
          </w:p>
        </w:tc>
      </w:tr>
      <w:tr w:rsidR="004B3B1E" w:rsidRPr="00DA50AF" w14:paraId="4E67D1D1" w14:textId="77777777" w:rsidTr="004B3B1E">
        <w:trPr>
          <w:trHeight w:val="258"/>
        </w:trPr>
        <w:tc>
          <w:tcPr>
            <w:tcW w:w="0" w:type="auto"/>
            <w:hideMark/>
          </w:tcPr>
          <w:p w14:paraId="688711C8" w14:textId="77777777" w:rsidR="004B3B1E" w:rsidRPr="00DA50AF" w:rsidRDefault="004B3B1E" w:rsidP="004B3B1E">
            <w:pPr>
              <w:spacing w:after="160" w:line="278" w:lineRule="auto"/>
              <w:jc w:val="center"/>
              <w:rPr>
                <w:rFonts w:ascii="Times New Roman" w:hAnsi="Times New Roman" w:cs="Times New Roman"/>
              </w:rPr>
            </w:pPr>
            <w:r w:rsidRPr="00DA50AF">
              <w:rPr>
                <w:rFonts w:ascii="Times New Roman" w:hAnsi="Times New Roman" w:cs="Times New Roman"/>
                <w:b/>
                <w:bCs/>
              </w:rPr>
              <w:t>Nifty 200</w:t>
            </w:r>
          </w:p>
        </w:tc>
        <w:tc>
          <w:tcPr>
            <w:tcW w:w="0" w:type="auto"/>
            <w:hideMark/>
          </w:tcPr>
          <w:p w14:paraId="20C205DE" w14:textId="77777777" w:rsidR="004B3B1E" w:rsidRPr="00DA50AF" w:rsidRDefault="004B3B1E" w:rsidP="004B3B1E">
            <w:pPr>
              <w:spacing w:after="160" w:line="278" w:lineRule="auto"/>
              <w:jc w:val="center"/>
              <w:rPr>
                <w:rFonts w:ascii="Times New Roman" w:hAnsi="Times New Roman" w:cs="Times New Roman"/>
              </w:rPr>
            </w:pPr>
            <w:r w:rsidRPr="00DA50AF">
              <w:rPr>
                <w:rFonts w:ascii="Times New Roman" w:hAnsi="Times New Roman" w:cs="Times New Roman"/>
              </w:rPr>
              <w:t>48.75%</w:t>
            </w:r>
          </w:p>
        </w:tc>
      </w:tr>
    </w:tbl>
    <w:p w14:paraId="12EF7DF6" w14:textId="61791E58" w:rsidR="00DA50AF" w:rsidRPr="004B3B1E" w:rsidRDefault="00DA50AF" w:rsidP="004B3B1E">
      <w:pPr>
        <w:jc w:val="center"/>
        <w:rPr>
          <w:rFonts w:ascii="Times New Roman" w:hAnsi="Times New Roman" w:cs="Times New Roman"/>
          <w:b/>
          <w:bCs/>
        </w:rPr>
      </w:pPr>
    </w:p>
    <w:sectPr w:rsidR="00DA50AF" w:rsidRPr="004B3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97694"/>
    <w:multiLevelType w:val="multilevel"/>
    <w:tmpl w:val="D2D495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524F5"/>
    <w:multiLevelType w:val="hybridMultilevel"/>
    <w:tmpl w:val="0F78BDA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90775AD"/>
    <w:multiLevelType w:val="multilevel"/>
    <w:tmpl w:val="671A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01348"/>
    <w:multiLevelType w:val="multilevel"/>
    <w:tmpl w:val="BB9E341A"/>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4" w15:restartNumberingAfterBreak="0">
    <w:nsid w:val="134F6660"/>
    <w:multiLevelType w:val="multilevel"/>
    <w:tmpl w:val="D2D495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561008"/>
    <w:multiLevelType w:val="multilevel"/>
    <w:tmpl w:val="6D2A4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0220BB"/>
    <w:multiLevelType w:val="multilevel"/>
    <w:tmpl w:val="901032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33186"/>
    <w:multiLevelType w:val="multilevel"/>
    <w:tmpl w:val="57D4C23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C702EA"/>
    <w:multiLevelType w:val="multilevel"/>
    <w:tmpl w:val="F9C8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1276C"/>
    <w:multiLevelType w:val="multilevel"/>
    <w:tmpl w:val="33801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E25E6"/>
    <w:multiLevelType w:val="multilevel"/>
    <w:tmpl w:val="431E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F14F1"/>
    <w:multiLevelType w:val="multilevel"/>
    <w:tmpl w:val="25C8E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3E7DD6"/>
    <w:multiLevelType w:val="multilevel"/>
    <w:tmpl w:val="B06C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16D0D"/>
    <w:multiLevelType w:val="multilevel"/>
    <w:tmpl w:val="B254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900044"/>
    <w:multiLevelType w:val="multilevel"/>
    <w:tmpl w:val="C2586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AF4314"/>
    <w:multiLevelType w:val="multilevel"/>
    <w:tmpl w:val="14429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380C0F"/>
    <w:multiLevelType w:val="hybridMultilevel"/>
    <w:tmpl w:val="9488CF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DE6BB2"/>
    <w:multiLevelType w:val="multilevel"/>
    <w:tmpl w:val="998E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AE5339"/>
    <w:multiLevelType w:val="multilevel"/>
    <w:tmpl w:val="F10C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4D2EFA"/>
    <w:multiLevelType w:val="multilevel"/>
    <w:tmpl w:val="F086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3622BC"/>
    <w:multiLevelType w:val="multilevel"/>
    <w:tmpl w:val="5BFA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7F58A9"/>
    <w:multiLevelType w:val="multilevel"/>
    <w:tmpl w:val="3338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196662"/>
    <w:multiLevelType w:val="multilevel"/>
    <w:tmpl w:val="080A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722B9E"/>
    <w:multiLevelType w:val="multilevel"/>
    <w:tmpl w:val="2A401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9E7D05"/>
    <w:multiLevelType w:val="multilevel"/>
    <w:tmpl w:val="14EC2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265621"/>
    <w:multiLevelType w:val="multilevel"/>
    <w:tmpl w:val="EEC8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DF6694"/>
    <w:multiLevelType w:val="multilevel"/>
    <w:tmpl w:val="05E4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961115"/>
    <w:multiLevelType w:val="multilevel"/>
    <w:tmpl w:val="F2FA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FE70A6"/>
    <w:multiLevelType w:val="multilevel"/>
    <w:tmpl w:val="BAD2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833064"/>
    <w:multiLevelType w:val="multilevel"/>
    <w:tmpl w:val="4890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8B179E"/>
    <w:multiLevelType w:val="multilevel"/>
    <w:tmpl w:val="9B9C1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7647F5"/>
    <w:multiLevelType w:val="multilevel"/>
    <w:tmpl w:val="9ABC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FB73AD"/>
    <w:multiLevelType w:val="multilevel"/>
    <w:tmpl w:val="14E0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092D9C"/>
    <w:multiLevelType w:val="multilevel"/>
    <w:tmpl w:val="F50C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6E106C"/>
    <w:multiLevelType w:val="hybridMultilevel"/>
    <w:tmpl w:val="7340E06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15:restartNumberingAfterBreak="0">
    <w:nsid w:val="78900532"/>
    <w:multiLevelType w:val="multilevel"/>
    <w:tmpl w:val="901032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2489924">
    <w:abstractNumId w:val="5"/>
  </w:num>
  <w:num w:numId="2" w16cid:durableId="559440696">
    <w:abstractNumId w:val="21"/>
  </w:num>
  <w:num w:numId="3" w16cid:durableId="496044338">
    <w:abstractNumId w:val="9"/>
  </w:num>
  <w:num w:numId="4" w16cid:durableId="1272127221">
    <w:abstractNumId w:val="31"/>
  </w:num>
  <w:num w:numId="5" w16cid:durableId="1047991594">
    <w:abstractNumId w:val="23"/>
  </w:num>
  <w:num w:numId="6" w16cid:durableId="1681421203">
    <w:abstractNumId w:val="30"/>
  </w:num>
  <w:num w:numId="7" w16cid:durableId="1785734042">
    <w:abstractNumId w:val="14"/>
  </w:num>
  <w:num w:numId="8" w16cid:durableId="612252433">
    <w:abstractNumId w:val="3"/>
  </w:num>
  <w:num w:numId="9" w16cid:durableId="984118711">
    <w:abstractNumId w:val="17"/>
  </w:num>
  <w:num w:numId="10" w16cid:durableId="764501063">
    <w:abstractNumId w:val="18"/>
  </w:num>
  <w:num w:numId="11" w16cid:durableId="2000814242">
    <w:abstractNumId w:val="22"/>
  </w:num>
  <w:num w:numId="12" w16cid:durableId="977535874">
    <w:abstractNumId w:val="10"/>
  </w:num>
  <w:num w:numId="13" w16cid:durableId="926353386">
    <w:abstractNumId w:val="26"/>
  </w:num>
  <w:num w:numId="14" w16cid:durableId="1331563771">
    <w:abstractNumId w:val="20"/>
  </w:num>
  <w:num w:numId="15" w16cid:durableId="685445919">
    <w:abstractNumId w:val="8"/>
  </w:num>
  <w:num w:numId="16" w16cid:durableId="949092372">
    <w:abstractNumId w:val="27"/>
  </w:num>
  <w:num w:numId="17" w16cid:durableId="475688015">
    <w:abstractNumId w:val="19"/>
  </w:num>
  <w:num w:numId="18" w16cid:durableId="1416518075">
    <w:abstractNumId w:val="32"/>
  </w:num>
  <w:num w:numId="19" w16cid:durableId="393091821">
    <w:abstractNumId w:val="15"/>
  </w:num>
  <w:num w:numId="20" w16cid:durableId="1373073161">
    <w:abstractNumId w:val="24"/>
  </w:num>
  <w:num w:numId="21" w16cid:durableId="607003348">
    <w:abstractNumId w:val="2"/>
  </w:num>
  <w:num w:numId="22" w16cid:durableId="728193073">
    <w:abstractNumId w:val="11"/>
  </w:num>
  <w:num w:numId="23" w16cid:durableId="1280336364">
    <w:abstractNumId w:val="4"/>
  </w:num>
  <w:num w:numId="24" w16cid:durableId="1947883999">
    <w:abstractNumId w:val="0"/>
  </w:num>
  <w:num w:numId="25" w16cid:durableId="1085954837">
    <w:abstractNumId w:val="1"/>
  </w:num>
  <w:num w:numId="26" w16cid:durableId="1022052492">
    <w:abstractNumId w:val="34"/>
  </w:num>
  <w:num w:numId="27" w16cid:durableId="810630445">
    <w:abstractNumId w:val="7"/>
  </w:num>
  <w:num w:numId="28" w16cid:durableId="1478912992">
    <w:abstractNumId w:val="6"/>
  </w:num>
  <w:num w:numId="29" w16cid:durableId="875966653">
    <w:abstractNumId w:val="35"/>
  </w:num>
  <w:num w:numId="30" w16cid:durableId="959608261">
    <w:abstractNumId w:val="33"/>
  </w:num>
  <w:num w:numId="31" w16cid:durableId="65541076">
    <w:abstractNumId w:val="29"/>
  </w:num>
  <w:num w:numId="32" w16cid:durableId="1070886740">
    <w:abstractNumId w:val="28"/>
  </w:num>
  <w:num w:numId="33" w16cid:durableId="319890921">
    <w:abstractNumId w:val="13"/>
  </w:num>
  <w:num w:numId="34" w16cid:durableId="1249076999">
    <w:abstractNumId w:val="12"/>
  </w:num>
  <w:num w:numId="35" w16cid:durableId="1329673018">
    <w:abstractNumId w:val="25"/>
  </w:num>
  <w:num w:numId="36" w16cid:durableId="132581820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33"/>
    <w:rsid w:val="000B4634"/>
    <w:rsid w:val="000D72A4"/>
    <w:rsid w:val="00136623"/>
    <w:rsid w:val="0017177E"/>
    <w:rsid w:val="00181214"/>
    <w:rsid w:val="001B6222"/>
    <w:rsid w:val="002B2C12"/>
    <w:rsid w:val="002B79F1"/>
    <w:rsid w:val="003E0533"/>
    <w:rsid w:val="00426436"/>
    <w:rsid w:val="004B3B1E"/>
    <w:rsid w:val="0053026C"/>
    <w:rsid w:val="00547EA7"/>
    <w:rsid w:val="00583527"/>
    <w:rsid w:val="0060233C"/>
    <w:rsid w:val="00685487"/>
    <w:rsid w:val="006A26C4"/>
    <w:rsid w:val="00726011"/>
    <w:rsid w:val="0077642B"/>
    <w:rsid w:val="0078724E"/>
    <w:rsid w:val="007C60BA"/>
    <w:rsid w:val="008364E2"/>
    <w:rsid w:val="00867915"/>
    <w:rsid w:val="008D1BA5"/>
    <w:rsid w:val="009A48E4"/>
    <w:rsid w:val="00BD059D"/>
    <w:rsid w:val="00BE50F6"/>
    <w:rsid w:val="00BF0A1E"/>
    <w:rsid w:val="00BF0C80"/>
    <w:rsid w:val="00C90E28"/>
    <w:rsid w:val="00D46C5F"/>
    <w:rsid w:val="00DA50AF"/>
    <w:rsid w:val="00DA6856"/>
    <w:rsid w:val="00DD6AC6"/>
    <w:rsid w:val="00E2022E"/>
    <w:rsid w:val="00ED37EB"/>
    <w:rsid w:val="00FF3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248E50"/>
  <w15:chartTrackingRefBased/>
  <w15:docId w15:val="{9E54104B-A5F4-4C7C-B860-00345F24F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77E"/>
  </w:style>
  <w:style w:type="paragraph" w:styleId="Heading1">
    <w:name w:val="heading 1"/>
    <w:basedOn w:val="Normal"/>
    <w:next w:val="Normal"/>
    <w:link w:val="Heading1Char"/>
    <w:uiPriority w:val="9"/>
    <w:qFormat/>
    <w:rsid w:val="003E0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0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05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5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5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5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05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05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5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5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533"/>
    <w:rPr>
      <w:rFonts w:eastAsiaTheme="majorEastAsia" w:cstheme="majorBidi"/>
      <w:color w:val="272727" w:themeColor="text1" w:themeTint="D8"/>
    </w:rPr>
  </w:style>
  <w:style w:type="paragraph" w:styleId="Title">
    <w:name w:val="Title"/>
    <w:basedOn w:val="Normal"/>
    <w:next w:val="Normal"/>
    <w:link w:val="TitleChar"/>
    <w:uiPriority w:val="10"/>
    <w:qFormat/>
    <w:rsid w:val="003E0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5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533"/>
    <w:pPr>
      <w:spacing w:before="160"/>
      <w:jc w:val="center"/>
    </w:pPr>
    <w:rPr>
      <w:i/>
      <w:iCs/>
      <w:color w:val="404040" w:themeColor="text1" w:themeTint="BF"/>
    </w:rPr>
  </w:style>
  <w:style w:type="character" w:customStyle="1" w:styleId="QuoteChar">
    <w:name w:val="Quote Char"/>
    <w:basedOn w:val="DefaultParagraphFont"/>
    <w:link w:val="Quote"/>
    <w:uiPriority w:val="29"/>
    <w:rsid w:val="003E0533"/>
    <w:rPr>
      <w:i/>
      <w:iCs/>
      <w:color w:val="404040" w:themeColor="text1" w:themeTint="BF"/>
    </w:rPr>
  </w:style>
  <w:style w:type="paragraph" w:styleId="ListParagraph">
    <w:name w:val="List Paragraph"/>
    <w:basedOn w:val="Normal"/>
    <w:uiPriority w:val="34"/>
    <w:qFormat/>
    <w:rsid w:val="003E0533"/>
    <w:pPr>
      <w:ind w:left="720"/>
      <w:contextualSpacing/>
    </w:pPr>
  </w:style>
  <w:style w:type="character" w:styleId="IntenseEmphasis">
    <w:name w:val="Intense Emphasis"/>
    <w:basedOn w:val="DefaultParagraphFont"/>
    <w:uiPriority w:val="21"/>
    <w:qFormat/>
    <w:rsid w:val="003E0533"/>
    <w:rPr>
      <w:i/>
      <w:iCs/>
      <w:color w:val="0F4761" w:themeColor="accent1" w:themeShade="BF"/>
    </w:rPr>
  </w:style>
  <w:style w:type="paragraph" w:styleId="IntenseQuote">
    <w:name w:val="Intense Quote"/>
    <w:basedOn w:val="Normal"/>
    <w:next w:val="Normal"/>
    <w:link w:val="IntenseQuoteChar"/>
    <w:uiPriority w:val="30"/>
    <w:qFormat/>
    <w:rsid w:val="003E0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533"/>
    <w:rPr>
      <w:i/>
      <w:iCs/>
      <w:color w:val="0F4761" w:themeColor="accent1" w:themeShade="BF"/>
    </w:rPr>
  </w:style>
  <w:style w:type="character" w:styleId="IntenseReference">
    <w:name w:val="Intense Reference"/>
    <w:basedOn w:val="DefaultParagraphFont"/>
    <w:uiPriority w:val="32"/>
    <w:qFormat/>
    <w:rsid w:val="003E0533"/>
    <w:rPr>
      <w:b/>
      <w:bCs/>
      <w:smallCaps/>
      <w:color w:val="0F4761" w:themeColor="accent1" w:themeShade="BF"/>
      <w:spacing w:val="5"/>
    </w:rPr>
  </w:style>
  <w:style w:type="table" w:styleId="TableGrid">
    <w:name w:val="Table Grid"/>
    <w:basedOn w:val="TableNormal"/>
    <w:uiPriority w:val="39"/>
    <w:rsid w:val="002B2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B2C12"/>
    <w:rPr>
      <w:b/>
      <w:bCs/>
    </w:rPr>
  </w:style>
  <w:style w:type="table" w:styleId="TableGridLight">
    <w:name w:val="Grid Table Light"/>
    <w:basedOn w:val="TableNormal"/>
    <w:uiPriority w:val="40"/>
    <w:rsid w:val="00C90E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90E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90E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C90E2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A48E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14956">
      <w:bodyDiv w:val="1"/>
      <w:marLeft w:val="0"/>
      <w:marRight w:val="0"/>
      <w:marTop w:val="0"/>
      <w:marBottom w:val="0"/>
      <w:divBdr>
        <w:top w:val="none" w:sz="0" w:space="0" w:color="auto"/>
        <w:left w:val="none" w:sz="0" w:space="0" w:color="auto"/>
        <w:bottom w:val="none" w:sz="0" w:space="0" w:color="auto"/>
        <w:right w:val="none" w:sz="0" w:space="0" w:color="auto"/>
      </w:divBdr>
    </w:div>
    <w:div w:id="67070998">
      <w:bodyDiv w:val="1"/>
      <w:marLeft w:val="0"/>
      <w:marRight w:val="0"/>
      <w:marTop w:val="0"/>
      <w:marBottom w:val="0"/>
      <w:divBdr>
        <w:top w:val="none" w:sz="0" w:space="0" w:color="auto"/>
        <w:left w:val="none" w:sz="0" w:space="0" w:color="auto"/>
        <w:bottom w:val="none" w:sz="0" w:space="0" w:color="auto"/>
        <w:right w:val="none" w:sz="0" w:space="0" w:color="auto"/>
      </w:divBdr>
    </w:div>
    <w:div w:id="277687607">
      <w:bodyDiv w:val="1"/>
      <w:marLeft w:val="0"/>
      <w:marRight w:val="0"/>
      <w:marTop w:val="0"/>
      <w:marBottom w:val="0"/>
      <w:divBdr>
        <w:top w:val="none" w:sz="0" w:space="0" w:color="auto"/>
        <w:left w:val="none" w:sz="0" w:space="0" w:color="auto"/>
        <w:bottom w:val="none" w:sz="0" w:space="0" w:color="auto"/>
        <w:right w:val="none" w:sz="0" w:space="0" w:color="auto"/>
      </w:divBdr>
      <w:divsChild>
        <w:div w:id="1870291882">
          <w:marLeft w:val="0"/>
          <w:marRight w:val="0"/>
          <w:marTop w:val="0"/>
          <w:marBottom w:val="0"/>
          <w:divBdr>
            <w:top w:val="none" w:sz="0" w:space="0" w:color="auto"/>
            <w:left w:val="none" w:sz="0" w:space="0" w:color="auto"/>
            <w:bottom w:val="none" w:sz="0" w:space="0" w:color="auto"/>
            <w:right w:val="none" w:sz="0" w:space="0" w:color="auto"/>
          </w:divBdr>
          <w:divsChild>
            <w:div w:id="336618686">
              <w:marLeft w:val="0"/>
              <w:marRight w:val="0"/>
              <w:marTop w:val="0"/>
              <w:marBottom w:val="0"/>
              <w:divBdr>
                <w:top w:val="none" w:sz="0" w:space="0" w:color="auto"/>
                <w:left w:val="none" w:sz="0" w:space="0" w:color="auto"/>
                <w:bottom w:val="none" w:sz="0" w:space="0" w:color="auto"/>
                <w:right w:val="none" w:sz="0" w:space="0" w:color="auto"/>
              </w:divBdr>
            </w:div>
            <w:div w:id="19274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0551">
      <w:bodyDiv w:val="1"/>
      <w:marLeft w:val="0"/>
      <w:marRight w:val="0"/>
      <w:marTop w:val="0"/>
      <w:marBottom w:val="0"/>
      <w:divBdr>
        <w:top w:val="none" w:sz="0" w:space="0" w:color="auto"/>
        <w:left w:val="none" w:sz="0" w:space="0" w:color="auto"/>
        <w:bottom w:val="none" w:sz="0" w:space="0" w:color="auto"/>
        <w:right w:val="none" w:sz="0" w:space="0" w:color="auto"/>
      </w:divBdr>
    </w:div>
    <w:div w:id="561063997">
      <w:bodyDiv w:val="1"/>
      <w:marLeft w:val="0"/>
      <w:marRight w:val="0"/>
      <w:marTop w:val="0"/>
      <w:marBottom w:val="0"/>
      <w:divBdr>
        <w:top w:val="none" w:sz="0" w:space="0" w:color="auto"/>
        <w:left w:val="none" w:sz="0" w:space="0" w:color="auto"/>
        <w:bottom w:val="none" w:sz="0" w:space="0" w:color="auto"/>
        <w:right w:val="none" w:sz="0" w:space="0" w:color="auto"/>
      </w:divBdr>
      <w:divsChild>
        <w:div w:id="845292524">
          <w:marLeft w:val="0"/>
          <w:marRight w:val="0"/>
          <w:marTop w:val="0"/>
          <w:marBottom w:val="0"/>
          <w:divBdr>
            <w:top w:val="none" w:sz="0" w:space="0" w:color="auto"/>
            <w:left w:val="none" w:sz="0" w:space="0" w:color="auto"/>
            <w:bottom w:val="none" w:sz="0" w:space="0" w:color="auto"/>
            <w:right w:val="none" w:sz="0" w:space="0" w:color="auto"/>
          </w:divBdr>
          <w:divsChild>
            <w:div w:id="794443472">
              <w:marLeft w:val="0"/>
              <w:marRight w:val="0"/>
              <w:marTop w:val="0"/>
              <w:marBottom w:val="0"/>
              <w:divBdr>
                <w:top w:val="none" w:sz="0" w:space="0" w:color="auto"/>
                <w:left w:val="none" w:sz="0" w:space="0" w:color="auto"/>
                <w:bottom w:val="none" w:sz="0" w:space="0" w:color="auto"/>
                <w:right w:val="none" w:sz="0" w:space="0" w:color="auto"/>
              </w:divBdr>
            </w:div>
            <w:div w:id="11352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2116">
      <w:bodyDiv w:val="1"/>
      <w:marLeft w:val="0"/>
      <w:marRight w:val="0"/>
      <w:marTop w:val="0"/>
      <w:marBottom w:val="0"/>
      <w:divBdr>
        <w:top w:val="none" w:sz="0" w:space="0" w:color="auto"/>
        <w:left w:val="none" w:sz="0" w:space="0" w:color="auto"/>
        <w:bottom w:val="none" w:sz="0" w:space="0" w:color="auto"/>
        <w:right w:val="none" w:sz="0" w:space="0" w:color="auto"/>
      </w:divBdr>
    </w:div>
    <w:div w:id="670762505">
      <w:bodyDiv w:val="1"/>
      <w:marLeft w:val="0"/>
      <w:marRight w:val="0"/>
      <w:marTop w:val="0"/>
      <w:marBottom w:val="0"/>
      <w:divBdr>
        <w:top w:val="none" w:sz="0" w:space="0" w:color="auto"/>
        <w:left w:val="none" w:sz="0" w:space="0" w:color="auto"/>
        <w:bottom w:val="none" w:sz="0" w:space="0" w:color="auto"/>
        <w:right w:val="none" w:sz="0" w:space="0" w:color="auto"/>
      </w:divBdr>
    </w:div>
    <w:div w:id="691494368">
      <w:bodyDiv w:val="1"/>
      <w:marLeft w:val="0"/>
      <w:marRight w:val="0"/>
      <w:marTop w:val="0"/>
      <w:marBottom w:val="0"/>
      <w:divBdr>
        <w:top w:val="none" w:sz="0" w:space="0" w:color="auto"/>
        <w:left w:val="none" w:sz="0" w:space="0" w:color="auto"/>
        <w:bottom w:val="none" w:sz="0" w:space="0" w:color="auto"/>
        <w:right w:val="none" w:sz="0" w:space="0" w:color="auto"/>
      </w:divBdr>
    </w:div>
    <w:div w:id="692153023">
      <w:bodyDiv w:val="1"/>
      <w:marLeft w:val="0"/>
      <w:marRight w:val="0"/>
      <w:marTop w:val="0"/>
      <w:marBottom w:val="0"/>
      <w:divBdr>
        <w:top w:val="none" w:sz="0" w:space="0" w:color="auto"/>
        <w:left w:val="none" w:sz="0" w:space="0" w:color="auto"/>
        <w:bottom w:val="none" w:sz="0" w:space="0" w:color="auto"/>
        <w:right w:val="none" w:sz="0" w:space="0" w:color="auto"/>
      </w:divBdr>
    </w:div>
    <w:div w:id="782386998">
      <w:bodyDiv w:val="1"/>
      <w:marLeft w:val="0"/>
      <w:marRight w:val="0"/>
      <w:marTop w:val="0"/>
      <w:marBottom w:val="0"/>
      <w:divBdr>
        <w:top w:val="none" w:sz="0" w:space="0" w:color="auto"/>
        <w:left w:val="none" w:sz="0" w:space="0" w:color="auto"/>
        <w:bottom w:val="none" w:sz="0" w:space="0" w:color="auto"/>
        <w:right w:val="none" w:sz="0" w:space="0" w:color="auto"/>
      </w:divBdr>
    </w:div>
    <w:div w:id="917859488">
      <w:bodyDiv w:val="1"/>
      <w:marLeft w:val="0"/>
      <w:marRight w:val="0"/>
      <w:marTop w:val="0"/>
      <w:marBottom w:val="0"/>
      <w:divBdr>
        <w:top w:val="none" w:sz="0" w:space="0" w:color="auto"/>
        <w:left w:val="none" w:sz="0" w:space="0" w:color="auto"/>
        <w:bottom w:val="none" w:sz="0" w:space="0" w:color="auto"/>
        <w:right w:val="none" w:sz="0" w:space="0" w:color="auto"/>
      </w:divBdr>
    </w:div>
    <w:div w:id="1120344680">
      <w:bodyDiv w:val="1"/>
      <w:marLeft w:val="0"/>
      <w:marRight w:val="0"/>
      <w:marTop w:val="0"/>
      <w:marBottom w:val="0"/>
      <w:divBdr>
        <w:top w:val="none" w:sz="0" w:space="0" w:color="auto"/>
        <w:left w:val="none" w:sz="0" w:space="0" w:color="auto"/>
        <w:bottom w:val="none" w:sz="0" w:space="0" w:color="auto"/>
        <w:right w:val="none" w:sz="0" w:space="0" w:color="auto"/>
      </w:divBdr>
    </w:div>
    <w:div w:id="1164125584">
      <w:bodyDiv w:val="1"/>
      <w:marLeft w:val="0"/>
      <w:marRight w:val="0"/>
      <w:marTop w:val="0"/>
      <w:marBottom w:val="0"/>
      <w:divBdr>
        <w:top w:val="none" w:sz="0" w:space="0" w:color="auto"/>
        <w:left w:val="none" w:sz="0" w:space="0" w:color="auto"/>
        <w:bottom w:val="none" w:sz="0" w:space="0" w:color="auto"/>
        <w:right w:val="none" w:sz="0" w:space="0" w:color="auto"/>
      </w:divBdr>
    </w:div>
    <w:div w:id="1185555567">
      <w:bodyDiv w:val="1"/>
      <w:marLeft w:val="0"/>
      <w:marRight w:val="0"/>
      <w:marTop w:val="0"/>
      <w:marBottom w:val="0"/>
      <w:divBdr>
        <w:top w:val="none" w:sz="0" w:space="0" w:color="auto"/>
        <w:left w:val="none" w:sz="0" w:space="0" w:color="auto"/>
        <w:bottom w:val="none" w:sz="0" w:space="0" w:color="auto"/>
        <w:right w:val="none" w:sz="0" w:space="0" w:color="auto"/>
      </w:divBdr>
      <w:divsChild>
        <w:div w:id="1792213141">
          <w:marLeft w:val="0"/>
          <w:marRight w:val="0"/>
          <w:marTop w:val="0"/>
          <w:marBottom w:val="0"/>
          <w:divBdr>
            <w:top w:val="single" w:sz="2" w:space="0" w:color="auto"/>
            <w:left w:val="single" w:sz="2" w:space="0" w:color="auto"/>
            <w:bottom w:val="single" w:sz="2" w:space="0" w:color="auto"/>
            <w:right w:val="single" w:sz="2" w:space="0" w:color="auto"/>
          </w:divBdr>
        </w:div>
        <w:div w:id="1008556109">
          <w:marLeft w:val="0"/>
          <w:marRight w:val="0"/>
          <w:marTop w:val="0"/>
          <w:marBottom w:val="0"/>
          <w:divBdr>
            <w:top w:val="single" w:sz="2" w:space="0" w:color="auto"/>
            <w:left w:val="single" w:sz="2" w:space="0" w:color="auto"/>
            <w:bottom w:val="single" w:sz="2" w:space="0" w:color="auto"/>
            <w:right w:val="single" w:sz="2" w:space="0" w:color="auto"/>
          </w:divBdr>
        </w:div>
      </w:divsChild>
    </w:div>
    <w:div w:id="1200359704">
      <w:bodyDiv w:val="1"/>
      <w:marLeft w:val="0"/>
      <w:marRight w:val="0"/>
      <w:marTop w:val="0"/>
      <w:marBottom w:val="0"/>
      <w:divBdr>
        <w:top w:val="none" w:sz="0" w:space="0" w:color="auto"/>
        <w:left w:val="none" w:sz="0" w:space="0" w:color="auto"/>
        <w:bottom w:val="none" w:sz="0" w:space="0" w:color="auto"/>
        <w:right w:val="none" w:sz="0" w:space="0" w:color="auto"/>
      </w:divBdr>
      <w:divsChild>
        <w:div w:id="1563246244">
          <w:marLeft w:val="0"/>
          <w:marRight w:val="0"/>
          <w:marTop w:val="0"/>
          <w:marBottom w:val="0"/>
          <w:divBdr>
            <w:top w:val="single" w:sz="2" w:space="0" w:color="auto"/>
            <w:left w:val="single" w:sz="2" w:space="0" w:color="auto"/>
            <w:bottom w:val="single" w:sz="2" w:space="0" w:color="auto"/>
            <w:right w:val="single" w:sz="2" w:space="0" w:color="auto"/>
          </w:divBdr>
        </w:div>
        <w:div w:id="584805288">
          <w:marLeft w:val="0"/>
          <w:marRight w:val="0"/>
          <w:marTop w:val="0"/>
          <w:marBottom w:val="0"/>
          <w:divBdr>
            <w:top w:val="single" w:sz="2" w:space="0" w:color="auto"/>
            <w:left w:val="single" w:sz="2" w:space="0" w:color="auto"/>
            <w:bottom w:val="single" w:sz="2" w:space="0" w:color="auto"/>
            <w:right w:val="single" w:sz="2" w:space="0" w:color="auto"/>
          </w:divBdr>
        </w:div>
      </w:divsChild>
    </w:div>
    <w:div w:id="1250191119">
      <w:bodyDiv w:val="1"/>
      <w:marLeft w:val="0"/>
      <w:marRight w:val="0"/>
      <w:marTop w:val="0"/>
      <w:marBottom w:val="0"/>
      <w:divBdr>
        <w:top w:val="none" w:sz="0" w:space="0" w:color="auto"/>
        <w:left w:val="none" w:sz="0" w:space="0" w:color="auto"/>
        <w:bottom w:val="none" w:sz="0" w:space="0" w:color="auto"/>
        <w:right w:val="none" w:sz="0" w:space="0" w:color="auto"/>
      </w:divBdr>
    </w:div>
    <w:div w:id="1465150391">
      <w:bodyDiv w:val="1"/>
      <w:marLeft w:val="0"/>
      <w:marRight w:val="0"/>
      <w:marTop w:val="0"/>
      <w:marBottom w:val="0"/>
      <w:divBdr>
        <w:top w:val="none" w:sz="0" w:space="0" w:color="auto"/>
        <w:left w:val="none" w:sz="0" w:space="0" w:color="auto"/>
        <w:bottom w:val="none" w:sz="0" w:space="0" w:color="auto"/>
        <w:right w:val="none" w:sz="0" w:space="0" w:color="auto"/>
      </w:divBdr>
    </w:div>
    <w:div w:id="1557624780">
      <w:bodyDiv w:val="1"/>
      <w:marLeft w:val="0"/>
      <w:marRight w:val="0"/>
      <w:marTop w:val="0"/>
      <w:marBottom w:val="0"/>
      <w:divBdr>
        <w:top w:val="none" w:sz="0" w:space="0" w:color="auto"/>
        <w:left w:val="none" w:sz="0" w:space="0" w:color="auto"/>
        <w:bottom w:val="none" w:sz="0" w:space="0" w:color="auto"/>
        <w:right w:val="none" w:sz="0" w:space="0" w:color="auto"/>
      </w:divBdr>
    </w:div>
    <w:div w:id="1561014778">
      <w:bodyDiv w:val="1"/>
      <w:marLeft w:val="0"/>
      <w:marRight w:val="0"/>
      <w:marTop w:val="0"/>
      <w:marBottom w:val="0"/>
      <w:divBdr>
        <w:top w:val="none" w:sz="0" w:space="0" w:color="auto"/>
        <w:left w:val="none" w:sz="0" w:space="0" w:color="auto"/>
        <w:bottom w:val="none" w:sz="0" w:space="0" w:color="auto"/>
        <w:right w:val="none" w:sz="0" w:space="0" w:color="auto"/>
      </w:divBdr>
    </w:div>
    <w:div w:id="1623146294">
      <w:bodyDiv w:val="1"/>
      <w:marLeft w:val="0"/>
      <w:marRight w:val="0"/>
      <w:marTop w:val="0"/>
      <w:marBottom w:val="0"/>
      <w:divBdr>
        <w:top w:val="none" w:sz="0" w:space="0" w:color="auto"/>
        <w:left w:val="none" w:sz="0" w:space="0" w:color="auto"/>
        <w:bottom w:val="none" w:sz="0" w:space="0" w:color="auto"/>
        <w:right w:val="none" w:sz="0" w:space="0" w:color="auto"/>
      </w:divBdr>
    </w:div>
    <w:div w:id="1744336288">
      <w:bodyDiv w:val="1"/>
      <w:marLeft w:val="0"/>
      <w:marRight w:val="0"/>
      <w:marTop w:val="0"/>
      <w:marBottom w:val="0"/>
      <w:divBdr>
        <w:top w:val="none" w:sz="0" w:space="0" w:color="auto"/>
        <w:left w:val="none" w:sz="0" w:space="0" w:color="auto"/>
        <w:bottom w:val="none" w:sz="0" w:space="0" w:color="auto"/>
        <w:right w:val="none" w:sz="0" w:space="0" w:color="auto"/>
      </w:divBdr>
    </w:div>
    <w:div w:id="1758820684">
      <w:bodyDiv w:val="1"/>
      <w:marLeft w:val="0"/>
      <w:marRight w:val="0"/>
      <w:marTop w:val="0"/>
      <w:marBottom w:val="0"/>
      <w:divBdr>
        <w:top w:val="none" w:sz="0" w:space="0" w:color="auto"/>
        <w:left w:val="none" w:sz="0" w:space="0" w:color="auto"/>
        <w:bottom w:val="none" w:sz="0" w:space="0" w:color="auto"/>
        <w:right w:val="none" w:sz="0" w:space="0" w:color="auto"/>
      </w:divBdr>
    </w:div>
    <w:div w:id="1823038729">
      <w:bodyDiv w:val="1"/>
      <w:marLeft w:val="0"/>
      <w:marRight w:val="0"/>
      <w:marTop w:val="0"/>
      <w:marBottom w:val="0"/>
      <w:divBdr>
        <w:top w:val="none" w:sz="0" w:space="0" w:color="auto"/>
        <w:left w:val="none" w:sz="0" w:space="0" w:color="auto"/>
        <w:bottom w:val="none" w:sz="0" w:space="0" w:color="auto"/>
        <w:right w:val="none" w:sz="0" w:space="0" w:color="auto"/>
      </w:divBdr>
    </w:div>
    <w:div w:id="1873956500">
      <w:bodyDiv w:val="1"/>
      <w:marLeft w:val="0"/>
      <w:marRight w:val="0"/>
      <w:marTop w:val="0"/>
      <w:marBottom w:val="0"/>
      <w:divBdr>
        <w:top w:val="none" w:sz="0" w:space="0" w:color="auto"/>
        <w:left w:val="none" w:sz="0" w:space="0" w:color="auto"/>
        <w:bottom w:val="none" w:sz="0" w:space="0" w:color="auto"/>
        <w:right w:val="none" w:sz="0" w:space="0" w:color="auto"/>
      </w:divBdr>
    </w:div>
    <w:div w:id="1929733871">
      <w:bodyDiv w:val="1"/>
      <w:marLeft w:val="0"/>
      <w:marRight w:val="0"/>
      <w:marTop w:val="0"/>
      <w:marBottom w:val="0"/>
      <w:divBdr>
        <w:top w:val="none" w:sz="0" w:space="0" w:color="auto"/>
        <w:left w:val="none" w:sz="0" w:space="0" w:color="auto"/>
        <w:bottom w:val="none" w:sz="0" w:space="0" w:color="auto"/>
        <w:right w:val="none" w:sz="0" w:space="0" w:color="auto"/>
      </w:divBdr>
    </w:div>
    <w:div w:id="1957712271">
      <w:bodyDiv w:val="1"/>
      <w:marLeft w:val="0"/>
      <w:marRight w:val="0"/>
      <w:marTop w:val="0"/>
      <w:marBottom w:val="0"/>
      <w:divBdr>
        <w:top w:val="none" w:sz="0" w:space="0" w:color="auto"/>
        <w:left w:val="none" w:sz="0" w:space="0" w:color="auto"/>
        <w:bottom w:val="none" w:sz="0" w:space="0" w:color="auto"/>
        <w:right w:val="none" w:sz="0" w:space="0" w:color="auto"/>
      </w:divBdr>
    </w:div>
    <w:div w:id="2003390481">
      <w:bodyDiv w:val="1"/>
      <w:marLeft w:val="0"/>
      <w:marRight w:val="0"/>
      <w:marTop w:val="0"/>
      <w:marBottom w:val="0"/>
      <w:divBdr>
        <w:top w:val="none" w:sz="0" w:space="0" w:color="auto"/>
        <w:left w:val="none" w:sz="0" w:space="0" w:color="auto"/>
        <w:bottom w:val="none" w:sz="0" w:space="0" w:color="auto"/>
        <w:right w:val="none" w:sz="0" w:space="0" w:color="auto"/>
      </w:divBdr>
    </w:div>
    <w:div w:id="2050258326">
      <w:bodyDiv w:val="1"/>
      <w:marLeft w:val="0"/>
      <w:marRight w:val="0"/>
      <w:marTop w:val="0"/>
      <w:marBottom w:val="0"/>
      <w:divBdr>
        <w:top w:val="none" w:sz="0" w:space="0" w:color="auto"/>
        <w:left w:val="none" w:sz="0" w:space="0" w:color="auto"/>
        <w:bottom w:val="none" w:sz="0" w:space="0" w:color="auto"/>
        <w:right w:val="none" w:sz="0" w:space="0" w:color="auto"/>
      </w:divBdr>
    </w:div>
    <w:div w:id="2064982504">
      <w:bodyDiv w:val="1"/>
      <w:marLeft w:val="0"/>
      <w:marRight w:val="0"/>
      <w:marTop w:val="0"/>
      <w:marBottom w:val="0"/>
      <w:divBdr>
        <w:top w:val="none" w:sz="0" w:space="0" w:color="auto"/>
        <w:left w:val="none" w:sz="0" w:space="0" w:color="auto"/>
        <w:bottom w:val="none" w:sz="0" w:space="0" w:color="auto"/>
        <w:right w:val="none" w:sz="0" w:space="0" w:color="auto"/>
      </w:divBdr>
    </w:div>
    <w:div w:id="211937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210</TotalTime>
  <Pages>11</Pages>
  <Words>1895</Words>
  <Characters>11565</Characters>
  <Application>Microsoft Office Word</Application>
  <DocSecurity>0</DocSecurity>
  <Lines>444</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Anguru</dc:creator>
  <cp:keywords/>
  <dc:description/>
  <cp:lastModifiedBy>Eswar Anguru</cp:lastModifiedBy>
  <cp:revision>30</cp:revision>
  <cp:lastPrinted>2025-03-08T16:30:00Z</cp:lastPrinted>
  <dcterms:created xsi:type="dcterms:W3CDTF">2025-03-08T13:45:00Z</dcterms:created>
  <dcterms:modified xsi:type="dcterms:W3CDTF">2025-03-09T07:36:00Z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5118c875-9b1d-497c-9c89-a086b5448bd6</vt:lpwstr>
  </property>
</Properties>
</file>