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A3A6B"/>
          <w:sz w:val="40"/>
          <w:szCs w:val="40"/>
        </w:rPr>
        <w:t xml:space="preserve">Decision Support System Project</w:t>
      </w:r>
    </w:p>
    <w:p>
      <w:pPr>
        <w:spacing w:after="80" w:before="80"/>
        <w:jc w:val="center"/>
      </w:pPr>
      <w:r>
        <w:rPr>
          <w:rFonts w:ascii="Arial" w:cs="Arial" w:eastAsia="Arial" w:hAnsi="Arial"/>
          <w:b/>
          <w:bCs/>
          <w:color w:val="2E5FA3"/>
          <w:sz w:val="32"/>
          <w:szCs w:val="32"/>
        </w:rPr>
        <w:t xml:space="preserve">Cervical Cancer Risk Factor Analysis</w:t>
      </w:r>
    </w:p>
    <w:p>
      <w:pPr>
        <w:spacing w:after="80" w:before="200"/>
        <w:jc w:val="center"/>
      </w:pPr>
      <w:r>
        <w:rPr>
          <w:rFonts w:ascii="Arial" w:cs="Arial" w:eastAsia="Arial" w:hAnsi="Arial"/>
          <w:color w:val="555555"/>
          <w:sz w:val="22"/>
          <w:szCs w:val="22"/>
        </w:rPr>
        <w:t xml:space="preserve">Dataset: UCI Cervical Cancer (Risk Factors) | 858 Patients, 36 Features</w:t>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A3A6B"/>
          <w:sz w:val="32"/>
          <w:szCs w:val="32"/>
        </w:rPr>
        <w:t xml:space="preserve">DSS Question 1 — Descriptive Analysis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8160"/>
            <w:tcBorders>
              <w:top w:val="single" w:color="2E5FA3" w:sz="1"/>
              <w:left w:val="single" w:color="2E5FA3" w:sz="1"/>
              <w:bottom w:val="single" w:color="2E5FA3" w:sz="1"/>
              <w:right w:val="single" w:color="2E5FA3" w:sz="1"/>
            </w:tcBorders>
            <w:shd w:fill="EEF3FA" w:val="clear"/>
            <w:tcMar>
              <w:top w:type="dxa" w:w="80"/>
              <w:left w:type="dxa" w:w="160"/>
              <w:bottom w:type="dxa" w:w="80"/>
              <w:right w:type="dxa" w:w="120"/>
            </w:tcMar>
          </w:tcPr>
          <w:p>
            <w:r>
              <w:rPr>
                <w:rFonts w:ascii="Arial" w:cs="Arial" w:eastAsia="Arial" w:hAnsi="Arial"/>
                <w:i/>
                <w:iCs/>
                <w:sz w:val="21"/>
                <w:szCs w:val="21"/>
              </w:rPr>
              <w:t xml:space="preserve">Which risk factors (age, smoking, contraceptive/IUD history, STI indicators) are most associated with abnormal screening or diagnostic outcomes?</w:t>
            </w:r>
          </w:p>
        </w:tc>
      </w:tr>
    </w:tbl>
    <w:p>
      <w:pPr>
        <w:spacing w:after="80" w:before="80"/>
      </w:pPr>
      <w:r>
        <w:t xml:space="preserve"/>
      </w:r>
    </w:p>
    <w:p>
      <w:pPr>
        <w:pStyle w:val="Heading2"/>
        <w:spacing w:after="80" w:before="280"/>
      </w:pPr>
      <w:r>
        <w:rPr>
          <w:rFonts w:ascii="Arial" w:cs="Arial" w:eastAsia="Arial" w:hAnsi="Arial"/>
          <w:b/>
          <w:bCs/>
          <w:color w:val="2E5FA3"/>
          <w:sz w:val="26"/>
          <w:szCs w:val="26"/>
        </w:rPr>
        <w:t xml:space="preserve">1.1  Dataset Overview</w:t>
      </w:r>
    </w:p>
    <w:p>
      <w:pPr>
        <w:spacing w:after="60" w:before="60"/>
      </w:pPr>
      <w:r>
        <w:rPr>
          <w:rFonts w:ascii="Arial" w:cs="Arial" w:eastAsia="Arial" w:hAnsi="Arial"/>
          <w:sz w:val="22"/>
          <w:szCs w:val="22"/>
        </w:rPr>
        <w:t xml:space="preserve">The UCI Cervical Cancer (Risk Factors) dataset contains 858 patient records with 36 variables spanning demographics, sexual history, contraceptive use, STD history, and four clinical screening/diagnostic outcomes: Hinselmann, Schiller, Citology, and Biopsy. The dataset is characterized by substantial class imbalance (Biopsy positive rate = 6.4%; AnyAbnormal rate = 11.9%) and widespread missingness encoded as '?' in the raw file.</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1.2  Data Cleaning &amp; Preparation</w:t>
      </w:r>
    </w:p>
    <w:p>
      <w:pPr>
        <w:spacing w:after="60" w:before="60"/>
      </w:pPr>
      <w:r>
        <w:rPr>
          <w:rFonts w:ascii="Arial" w:cs="Arial" w:eastAsia="Arial" w:hAnsi="Arial"/>
          <w:sz w:val="22"/>
          <w:szCs w:val="22"/>
        </w:rPr>
        <w:t xml:space="preserve">The following cleaning steps were applied before analysis:</w:t>
      </w:r>
    </w:p>
    <w:p>
      <w:pPr>
        <w:pStyle w:val="ListParagraph"/>
        <w:numPr>
          <w:ilvl w:val="0"/>
          <w:numId w:val="2"/>
        </w:numPr>
        <w:spacing w:after="40" w:before="40"/>
      </w:pPr>
      <w:r>
        <w:rPr>
          <w:rFonts w:ascii="Arial" w:cs="Arial" w:eastAsia="Arial" w:hAnsi="Arial"/>
          <w:sz w:val="22"/>
          <w:szCs w:val="22"/>
        </w:rPr>
        <w:t xml:space="preserve">Replaced all '?' placeholders with NaN on load (na_values='?').</w:t>
      </w:r>
    </w:p>
    <w:p>
      <w:pPr>
        <w:pStyle w:val="ListParagraph"/>
        <w:numPr>
          <w:ilvl w:val="0"/>
          <w:numId w:val="2"/>
        </w:numPr>
        <w:spacing w:after="40" w:before="40"/>
      </w:pPr>
      <w:r>
        <w:rPr>
          <w:rFonts w:ascii="Arial" w:cs="Arial" w:eastAsia="Arial" w:hAnsi="Arial"/>
          <w:sz w:val="22"/>
          <w:szCs w:val="22"/>
        </w:rPr>
        <w:t xml:space="preserve">Dropped 2 columns with &gt;50% missingness: STDs: Time since first/last diagnosis (91.7% missing each). Imputing these would introduce more noise than signal.</w:t>
      </w:r>
    </w:p>
    <w:p>
      <w:pPr>
        <w:pStyle w:val="ListParagraph"/>
        <w:numPr>
          <w:ilvl w:val="0"/>
          <w:numId w:val="2"/>
        </w:numPr>
        <w:spacing w:after="40" w:before="40"/>
      </w:pPr>
      <w:r>
        <w:rPr>
          <w:rFonts w:ascii="Arial" w:cs="Arial" w:eastAsia="Arial" w:hAnsi="Arial"/>
          <w:sz w:val="22"/>
          <w:szCs w:val="22"/>
        </w:rPr>
        <w:t xml:space="preserve">Applied median imputation to continuous variables and mode imputation to binary variables for remaining missing values (ranging from 0.8% to 13.6%).</w:t>
      </w:r>
    </w:p>
    <w:p>
      <w:pPr>
        <w:pStyle w:val="ListParagraph"/>
        <w:numPr>
          <w:ilvl w:val="0"/>
          <w:numId w:val="2"/>
        </w:numPr>
        <w:spacing w:after="40" w:before="40"/>
      </w:pPr>
      <w:r>
        <w:rPr>
          <w:rFonts w:ascii="Arial" w:cs="Arial" w:eastAsia="Arial" w:hAnsi="Arial"/>
          <w:sz w:val="22"/>
          <w:szCs w:val="22"/>
        </w:rPr>
        <w:t xml:space="preserve">Engineered STD_burden (sum of 12 individual STD indicator columns) to create a composite measure that avoids multicollinearity.</w:t>
      </w:r>
    </w:p>
    <w:p>
      <w:pPr>
        <w:pStyle w:val="ListParagraph"/>
        <w:numPr>
          <w:ilvl w:val="0"/>
          <w:numId w:val="2"/>
        </w:numPr>
        <w:spacing w:after="40" w:before="40"/>
      </w:pPr>
      <w:r>
        <w:rPr>
          <w:rFonts w:ascii="Arial" w:cs="Arial" w:eastAsia="Arial" w:hAnsi="Arial"/>
          <w:sz w:val="22"/>
          <w:szCs w:val="22"/>
        </w:rPr>
        <w:t xml:space="preserve">Created AnyAbnormal (1 if any of the 4 outcomes is positive) as a composite outcome flag.</w:t>
      </w:r>
    </w:p>
    <w:p>
      <w:pPr>
        <w:pStyle w:val="ListParagraph"/>
        <w:numPr>
          <w:ilvl w:val="0"/>
          <w:numId w:val="2"/>
        </w:numPr>
        <w:spacing w:after="40" w:before="40"/>
      </w:pPr>
      <w:r>
        <w:rPr>
          <w:rFonts w:ascii="Arial" w:cs="Arial" w:eastAsia="Arial" w:hAnsi="Arial"/>
          <w:sz w:val="22"/>
          <w:szCs w:val="22"/>
        </w:rPr>
        <w:t xml:space="preserve">Binned Age into AgeBucket (&lt;20, 20–29, 30–39, 40–49, 50+) for stratified comparisons.</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1.3  Univariate Analysis — Key Findings</w:t>
      </w:r>
    </w:p>
    <w:p>
      <w:pPr>
        <w:spacing w:after="60" w:before="200"/>
      </w:pPr>
      <w:r>
        <w:rPr>
          <w:rFonts w:ascii="Arial" w:cs="Arial" w:eastAsia="Arial" w:hAnsi="Arial"/>
          <w:b/>
          <w:bCs/>
          <w:color w:val="1A1A1A"/>
          <w:sz w:val="24"/>
          <w:szCs w:val="24"/>
        </w:rPr>
        <w:t xml:space="preserve">Age Distribution</w:t>
      </w:r>
    </w:p>
    <w:p>
      <w:pPr>
        <w:spacing w:after="60" w:before="60"/>
      </w:pPr>
      <w:r>
        <w:rPr>
          <w:rFonts w:ascii="Arial" w:cs="Arial" w:eastAsia="Arial" w:hAnsi="Arial"/>
          <w:sz w:val="22"/>
          <w:szCs w:val="22"/>
        </w:rPr>
        <w:t xml:space="preserve">The population is predominantly young: median age = 25 years, with 75% of patients under 32. The distribution is right-skewed, with a long tail extending to age 84. This concentration in the 20–29 age group (the largest cohort) is clinically expected for a cervical screening population.</w:t>
      </w:r>
    </w:p>
    <w:p>
      <w:pPr>
        <w:spacing w:after="80" w:before="80"/>
      </w:pPr>
      <w:r>
        <w:t xml:space="preserve"/>
      </w:r>
    </w:p>
    <w:p>
      <w:pPr>
        <w:spacing w:after="60" w:before="200"/>
      </w:pPr>
      <w:r>
        <w:rPr>
          <w:rFonts w:ascii="Arial" w:cs="Arial" w:eastAsia="Arial" w:hAnsi="Arial"/>
          <w:b/>
          <w:bCs/>
          <w:color w:val="1A1A1A"/>
          <w:sz w:val="24"/>
          <w:szCs w:val="24"/>
        </w:rPr>
        <w:t xml:space="preserve">Outcome Prevalence</w:t>
      </w:r>
    </w:p>
    <w:p>
      <w:pPr>
        <w:spacing w:after="60" w:before="60"/>
      </w:pPr>
      <w:r>
        <w:rPr>
          <w:rFonts w:ascii="Arial" w:cs="Arial" w:eastAsia="Arial" w:hAnsi="Arial"/>
          <w:sz w:val="22"/>
          <w:szCs w:val="22"/>
        </w:rPr>
        <w:t xml:space="preserve">All four screening outcomes are rare, reflecting real-world clinical incidence: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Positive Rate</w:t>
            </w:r>
          </w:p>
        </w:tc>
        <w:tc>
          <w:tcPr>
            <w:tcW w:type="dxa" w:w="4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Clinical 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Hinselmann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Abnormal colposcopy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Schiller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8.6%</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Abnormal iodine staining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Abnormal Pap smear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Biopsy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6.4%</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Confirmed histological abnormality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AnyAbnormal (composite)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positive test</w:t>
            </w:r>
          </w:p>
        </w:tc>
      </w:tr>
    </w:tbl>
    <w:p>
      <w:pPr>
        <w:spacing w:after="80" w:before="80"/>
      </w:pPr>
      <w:r>
        <w:t xml:space="preserve"/>
      </w:r>
    </w:p>
    <w:p>
      <w:pPr>
        <w:spacing w:after="60" w:before="60"/>
      </w:pPr>
      <w:r>
        <w:rPr>
          <w:rFonts w:ascii="Arial" w:cs="Arial" w:eastAsia="Arial" w:hAnsi="Arial"/>
          <w:sz w:val="22"/>
          <w:szCs w:val="22"/>
        </w:rPr>
        <w:t xml:space="preserve">The rarity of positive cases (6–12%) constitutes a class imbalance problem that must be explicitly addressed in any predictive model — motivating the SMOTE oversampling and class-weight adjustments used in DSS Q2.</w:t>
      </w:r>
    </w:p>
    <w:p>
      <w:pPr>
        <w:spacing w:after="80" w:before="80"/>
      </w:pPr>
      <w:r>
        <w:t xml:space="preserve"/>
      </w:r>
    </w:p>
    <w:p>
      <w:pPr>
        <w:spacing w:after="60" w:before="200"/>
      </w:pPr>
      <w:r>
        <w:rPr>
          <w:rFonts w:ascii="Arial" w:cs="Arial" w:eastAsia="Arial" w:hAnsi="Arial"/>
          <w:b/>
          <w:bCs/>
          <w:color w:val="1A1A1A"/>
          <w:sz w:val="24"/>
          <w:szCs w:val="24"/>
        </w:rPr>
        <w:t xml:space="preserve">Binary Risk Factors</w:t>
      </w:r>
    </w:p>
    <w:p>
      <w:pPr>
        <w:spacing w:after="60" w:before="60"/>
      </w:pPr>
      <w:r>
        <w:rPr>
          <w:rFonts w:ascii="Arial" w:cs="Arial" w:eastAsia="Arial" w:hAnsi="Arial"/>
          <w:sz w:val="22"/>
          <w:szCs w:val="22"/>
        </w:rPr>
        <w:t xml:space="preserve">Among the 858 patients: 12% are smokers, 71% have used hormonal contraceptives, 15% have used an IUD, and 18% have a recorded STD history. The high contraceptive use rate reflects the dataset's predominantly reproductive-age population.</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1.4  Bivariate Analysis — Risk Factors vs. Outcomes</w:t>
      </w:r>
    </w:p>
    <w:p>
      <w:pPr>
        <w:spacing w:after="60" w:before="200"/>
      </w:pPr>
      <w:r>
        <w:rPr>
          <w:rFonts w:ascii="Arial" w:cs="Arial" w:eastAsia="Arial" w:hAnsi="Arial"/>
          <w:b/>
          <w:bCs/>
          <w:color w:val="1A1A1A"/>
          <w:sz w:val="24"/>
          <w:szCs w:val="24"/>
        </w:rPr>
        <w:t xml:space="preserve">Continuous Features vs. Biopsy</w:t>
      </w:r>
    </w:p>
    <w:p>
      <w:pPr>
        <w:spacing w:after="60" w:before="60"/>
      </w:pPr>
      <w:r>
        <w:rPr>
          <w:rFonts w:ascii="Arial" w:cs="Arial" w:eastAsia="Arial" w:hAnsi="Arial"/>
          <w:sz w:val="22"/>
          <w:szCs w:val="22"/>
        </w:rPr>
        <w:t xml:space="preserve">Box plots comparing Biopsy=0 vs Biopsy=1 groups reveal systematic differences across all key continuous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Biopsy=0 Mean</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Biopsy=1 Mean</w:t>
            </w:r>
          </w:p>
        </w:tc>
        <w:tc>
          <w:tcPr>
            <w:tcW w:type="dxa" w:w="2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yrs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31.4 yrs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in abnormal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3.1</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Higher in abnormal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in abnormal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Higher in abnormal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Hormonal Contraceptives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in abnormal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STD_burden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0.82</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Much higher in abnormal</w:t>
            </w:r>
          </w:p>
        </w:tc>
      </w:tr>
    </w:tbl>
    <w:p>
      <w:pPr>
        <w:spacing w:after="80" w:before="80"/>
      </w:pPr>
      <w:r>
        <w:t xml:space="preserve"/>
      </w:r>
    </w:p>
    <w:p>
      <w:pPr>
        <w:spacing w:after="60" w:before="60"/>
      </w:pPr>
      <w:r>
        <w:rPr>
          <w:rFonts w:ascii="Arial" w:cs="Arial" w:eastAsia="Arial" w:hAnsi="Arial"/>
          <w:sz w:val="22"/>
          <w:szCs w:val="22"/>
        </w:rPr>
        <w:t xml:space="preserve">STD_burden shows the most pronounced difference — patients with abnormal Biopsy have on average 5.5× the STD burden of normal patients. This is the single strongest bivariate signal in the dataset.</w:t>
      </w:r>
    </w:p>
    <w:p>
      <w:pPr>
        <w:spacing w:after="80" w:before="80"/>
      </w:pPr>
      <w:r>
        <w:t xml:space="preserve"/>
      </w:r>
    </w:p>
    <w:p>
      <w:pPr>
        <w:spacing w:after="60" w:before="200"/>
      </w:pPr>
      <w:r>
        <w:rPr>
          <w:rFonts w:ascii="Arial" w:cs="Arial" w:eastAsia="Arial" w:hAnsi="Arial"/>
          <w:b/>
          <w:bCs/>
          <w:color w:val="1A1A1A"/>
          <w:sz w:val="24"/>
          <w:szCs w:val="24"/>
        </w:rPr>
        <w:t xml:space="preserve">Binary Risk Factors vs. AnyAbnormal</w:t>
      </w:r>
    </w:p>
    <w:p>
      <w:pPr>
        <w:spacing w:after="60" w:before="60"/>
      </w:pPr>
      <w:r>
        <w:rPr>
          <w:rFonts w:ascii="Arial" w:cs="Arial" w:eastAsia="Arial" w:hAnsi="Arial"/>
          <w:sz w:val="22"/>
          <w:szCs w:val="22"/>
        </w:rPr>
        <w:t xml:space="preserve">Patients with a recorded STD history have an abnormal rate of ~35%, versus ~8% for those without — a 4.4× relative risk. Prior cancer diagnosis shows a similar pattern. Smoking and IUD use show modest but measurable elevations.</w:t>
      </w:r>
    </w:p>
    <w:p>
      <w:pPr>
        <w:spacing w:after="80" w:before="80"/>
      </w:pPr>
      <w:r>
        <w:t xml:space="preserve"/>
      </w:r>
    </w:p>
    <w:p>
      <w:pPr>
        <w:spacing w:after="60" w:before="200"/>
      </w:pPr>
      <w:r>
        <w:rPr>
          <w:rFonts w:ascii="Arial" w:cs="Arial" w:eastAsia="Arial" w:hAnsi="Arial"/>
          <w:b/>
          <w:bCs/>
          <w:color w:val="1A1A1A"/>
          <w:sz w:val="24"/>
          <w:szCs w:val="24"/>
        </w:rPr>
        <w:t xml:space="preserve">Age Group Effect</w:t>
      </w:r>
    </w:p>
    <w:p>
      <w:pPr>
        <w:spacing w:after="60" w:before="60"/>
      </w:pPr>
      <w:r>
        <w:rPr>
          <w:rFonts w:ascii="Arial" w:cs="Arial" w:eastAsia="Arial" w:hAnsi="Arial"/>
          <w:sz w:val="22"/>
          <w:szCs w:val="22"/>
        </w:rPr>
        <w:t xml:space="preserve">The abnormal outcome rate rises with age despite smaller patient volumes in older groups. The 40–49 and 50+ groups have the highest rates of abnormality, consistent with the cumulative nature of cervical cancer risk. The 20–29 group — the largest — has the lowest rate but the highest absolute count of cases due to volume.</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1.5  Correlation Analysis</w:t>
      </w:r>
    </w:p>
    <w:p>
      <w:pPr>
        <w:spacing w:after="60" w:before="60"/>
      </w:pPr>
      <w:r>
        <w:rPr>
          <w:rFonts w:ascii="Arial" w:cs="Arial" w:eastAsia="Arial" w:hAnsi="Arial"/>
          <w:sz w:val="22"/>
          <w:szCs w:val="22"/>
        </w:rPr>
        <w:t xml:space="preserve">Pearson/point-biserial correlations between risk factors and Biopsy outcome (ranked by absolute value):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2160"/>
      </w:tblGrid>
      <w:tr>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Correlation with Biopsy</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STD_burden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Dx:Cancer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0.19</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Dx:HPV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STDs (number)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0.17</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0.09</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Hormonal Contraceptives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IUD (years)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0.06</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Slightly positive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Positive</w:t>
            </w:r>
          </w:p>
        </w:tc>
      </w:tr>
    </w:tbl>
    <w:p>
      <w:pPr>
        <w:spacing w:after="80" w:before="80"/>
      </w:pPr>
      <w:r>
        <w:t xml:space="preserve"/>
      </w:r>
    </w:p>
    <w:p>
      <w:pPr>
        <w:spacing w:after="60" w:before="60"/>
      </w:pPr>
      <w:r>
        <w:rPr>
          <w:rFonts w:ascii="Arial" w:cs="Arial" w:eastAsia="Arial" w:hAnsi="Arial"/>
          <w:sz w:val="22"/>
          <w:szCs w:val="22"/>
        </w:rPr>
        <w:t xml:space="preserve">The full feature-to-feature correlation heatmap also reveals strong multicollinearity among STD variables (STDs, STDs_number, individual STD indicators), motivating the use of the composite STD_burden in the predictive model. Smokes and Smokes (years) are similarly collinear (r = 0.92).</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1.6  Cluster Analysis (K-Means, k=3)</w:t>
      </w:r>
    </w:p>
    <w:p>
      <w:pPr>
        <w:spacing w:after="60" w:before="60"/>
      </w:pPr>
      <w:r>
        <w:rPr>
          <w:rFonts w:ascii="Arial" w:cs="Arial" w:eastAsia="Arial" w:hAnsi="Arial"/>
          <w:sz w:val="22"/>
          <w:szCs w:val="22"/>
        </w:rPr>
        <w:t xml:space="preserve">Applying K-Means clustering (k=3, validated by elbow method) to the 7 core risk features identifies three natural patient risk segments: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200"/>
        <w:gridCol w:w="1200"/>
        <w:gridCol w:w="1200"/>
        <w:gridCol w:w="1880"/>
        <w:gridCol w:w="1280"/>
      </w:tblGrid>
      <w:tr>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Median Age</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STD Burden</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Smoke Yrs</w:t>
            </w:r>
          </w:p>
        </w:tc>
        <w:tc>
          <w:tcPr>
            <w:tcW w:type="dxa" w:w="1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Any Abnormal Rate</w:t>
            </w:r>
          </w:p>
        </w:tc>
        <w:tc>
          <w:tcPr>
            <w:tcW w:type="dxa" w:w="12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Biopsy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Risk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 Risk</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w:t>
            </w:r>
          </w:p>
        </w:tc>
        <w:tc>
          <w:tcPr>
            <w:tcW w:type="dxa" w:w="1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14.2%</w:t>
            </w:r>
          </w:p>
        </w:tc>
        <w:tc>
          <w:tcPr>
            <w:tcW w:type="dxa" w:w="1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w:t>
            </w:r>
          </w:p>
        </w:tc>
      </w:tr>
    </w:tbl>
    <w:p>
      <w:pPr>
        <w:spacing w:after="80" w:before="80"/>
      </w:pPr>
      <w:r>
        <w:t xml:space="preserve"/>
      </w:r>
    </w:p>
    <w:p>
      <w:pPr>
        <w:spacing w:after="60" w:before="60"/>
      </w:pPr>
      <w:r>
        <w:rPr>
          <w:rFonts w:ascii="Arial" w:cs="Arial" w:eastAsia="Arial" w:hAnsi="Arial"/>
          <w:sz w:val="22"/>
          <w:szCs w:val="22"/>
        </w:rPr>
        <w:t xml:space="preserve">The PCA visualization confirms that the High Risk cluster (k=3) aligns strongly with patients who received a positive Biopsy result — validating that the unsupervised segmentation has captured real clinical heterogeneity. The cluster label (RiskCluster) is subsequently used as a feature in the Q2 predictive model.</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1.7  Key Insights &amp; Motivation for DSS Q2 and Q3</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160"/>
      </w:tblGrid>
      <w:tr>
        <w:tc>
          <w:tcPr>
            <w:tcW w:type="dxa" w:w="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Implication for Q2 / Q3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class imbalance: Biopsy+ = 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SMOTE + class_weight='balanced'; optimize recall</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 effect: abnormal rate rises with age despite smaller 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Include Age and AgeBucket as model features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STD_burden is the strongest correlate (r=0.21)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Must-include feature; test STD misreporting sensitivity in Q3</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Dx:Cancer and Dx:HPV are top predictors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Include with caution; also test model without them (No-Dx variant)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Smoking has modest but real effect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what-if: risk change if smoker status unknown (Q3)</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IUD shows slight protective signal</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 IUD (years) rather than binary flag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natural risk clusters exist with distinct outcome rates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RiskCluster as model feature for richer stratification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Multicollinearity among STD variables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 STD_burden composite; drop individual STD columns in Q2</w:t>
            </w:r>
          </w:p>
        </w:tc>
      </w:tr>
    </w:tbl>
    <w:p>
      <w:pPr>
        <w:spacing w:after="80" w:before="80"/>
      </w:pPr>
      <w:r>
        <w:t xml:space="preserve"/>
      </w:r>
    </w:p>
    <w:p>
      <w:r>
        <w:br w:type="page"/>
      </w:r>
    </w:p>
    <w:p>
      <w:pPr>
        <w:pStyle w:val="Heading1"/>
        <w:spacing w:after="120" w:before="360"/>
      </w:pPr>
      <w:r>
        <w:rPr>
          <w:rFonts w:ascii="Arial" w:cs="Arial" w:eastAsia="Arial" w:hAnsi="Arial"/>
          <w:b/>
          <w:bCs/>
          <w:color w:val="1A3A6B"/>
          <w:sz w:val="32"/>
          <w:szCs w:val="32"/>
        </w:rPr>
        <w:t xml:space="preserve">DSS Question 2 — Predictive Model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8160"/>
            <w:tcBorders>
              <w:top w:val="single" w:color="2E5FA3" w:sz="1"/>
              <w:left w:val="single" w:color="2E5FA3" w:sz="1"/>
              <w:bottom w:val="single" w:color="2E5FA3" w:sz="1"/>
              <w:right w:val="single" w:color="2E5FA3" w:sz="1"/>
            </w:tcBorders>
            <w:shd w:fill="EEF3FA" w:val="clear"/>
            <w:tcMar>
              <w:top w:type="dxa" w:w="80"/>
              <w:left w:type="dxa" w:w="160"/>
              <w:bottom w:type="dxa" w:w="80"/>
              <w:right w:type="dxa" w:w="120"/>
            </w:tcMar>
          </w:tcPr>
          <w:p>
            <w:r>
              <w:rPr>
                <w:rFonts w:ascii="Arial" w:cs="Arial" w:eastAsia="Arial" w:hAnsi="Arial"/>
                <w:i/>
                <w:iCs/>
                <w:sz w:val="21"/>
                <w:szCs w:val="21"/>
              </w:rPr>
              <w:t xml:space="preserve">(a) What is the predicted probability that a patient will have an abnormal outcome given their risk-factor profile? (b) Should this patient be recommended for routine screening, expedited testing, or referral for further evaluation given capacity constraints?</w:t>
            </w:r>
          </w:p>
        </w:tc>
      </w:tr>
    </w:tbl>
    <w:p>
      <w:pPr>
        <w:spacing w:after="80" w:before="80"/>
      </w:pPr>
      <w:r>
        <w:t xml:space="preserve"/>
      </w:r>
    </w:p>
    <w:p>
      <w:pPr>
        <w:pStyle w:val="Heading2"/>
        <w:spacing w:after="80" w:before="280"/>
      </w:pPr>
      <w:r>
        <w:rPr>
          <w:rFonts w:ascii="Arial" w:cs="Arial" w:eastAsia="Arial" w:hAnsi="Arial"/>
          <w:b/>
          <w:bCs/>
          <w:color w:val="2E5FA3"/>
          <w:sz w:val="26"/>
          <w:szCs w:val="26"/>
        </w:rPr>
        <w:t xml:space="preserve">2.1  Analytical Model Selection</w:t>
      </w:r>
    </w:p>
    <w:p>
      <w:pPr>
        <w:spacing w:after="60" w:before="60"/>
      </w:pPr>
      <w:r>
        <w:rPr>
          <w:rFonts w:ascii="Arial" w:cs="Arial" w:eastAsia="Arial" w:hAnsi="Arial"/>
          <w:sz w:val="22"/>
          <w:szCs w:val="22"/>
        </w:rPr>
        <w:t xml:space="preserve">Two complementary models were trained and evaluated:</w:t>
      </w:r>
    </w:p>
    <w:p>
      <w:pPr>
        <w:pStyle w:val="ListParagraph"/>
        <w:numPr>
          <w:ilvl w:val="0"/>
          <w:numId w:val="2"/>
        </w:numPr>
        <w:spacing w:after="40" w:before="40"/>
      </w:pPr>
      <w:r>
        <w:rPr>
          <w:rFonts w:ascii="Arial" w:cs="Arial" w:eastAsia="Arial" w:hAnsi="Arial"/>
          <w:sz w:val="22"/>
          <w:szCs w:val="22"/>
        </w:rPr>
        <w:t xml:space="preserve">Logistic Regression (with class_weight='balanced'): Interpretable baseline providing odds ratios for direct clinical meaning.</w:t>
      </w:r>
    </w:p>
    <w:p>
      <w:pPr>
        <w:pStyle w:val="ListParagraph"/>
        <w:numPr>
          <w:ilvl w:val="0"/>
          <w:numId w:val="2"/>
        </w:numPr>
        <w:spacing w:after="40" w:before="40"/>
      </w:pPr>
      <w:r>
        <w:rPr>
          <w:rFonts w:ascii="Arial" w:cs="Arial" w:eastAsia="Arial" w:hAnsi="Arial"/>
          <w:sz w:val="22"/>
          <w:szCs w:val="22"/>
        </w:rPr>
        <w:t xml:space="preserve">Random Forest + SMOTE: Captures non-linear interactions; SMOTE synthetically oversampled the minority class to 50% in the training set (from 643 → 1,284 training samples).</w:t>
      </w:r>
    </w:p>
    <w:p>
      <w:pPr>
        <w:spacing w:after="80" w:before="80"/>
      </w:pPr>
      <w:r>
        <w:t xml:space="preserve"/>
      </w:r>
    </w:p>
    <w:p>
      <w:pPr>
        <w:spacing w:after="60" w:before="60"/>
      </w:pPr>
      <w:r>
        <w:rPr>
          <w:rFonts w:ascii="Arial" w:cs="Arial" w:eastAsia="Arial" w:hAnsi="Arial"/>
          <w:sz w:val="22"/>
          <w:szCs w:val="22"/>
        </w:rPr>
        <w:t xml:space="preserve">Feature set used (11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effect; biological risk accumulates with 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AgeBucket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Ordinal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Captures non-linear age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 exposure proxy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Biological risk factor; correlated with 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informative than binary flag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Hormonal Contraceptives (years)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Duration matters more than binary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IUD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captures protective/risk signal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STD_burden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Composite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Avoids multicollinearity of raw STD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Dx:Cancer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prior predictor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Dx:HPV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Binary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Second-strongest prior predictor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RiskCluster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 (0/1/2)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EDA-derived risk segment</w:t>
            </w:r>
          </w:p>
        </w:tc>
      </w:tr>
    </w:tbl>
    <w:p>
      <w:pPr>
        <w:spacing w:after="80" w:before="80"/>
      </w:pPr>
      <w:r>
        <w:t xml:space="preserve"/>
      </w:r>
    </w:p>
    <w:p>
      <w:pPr>
        <w:spacing w:after="60" w:before="60"/>
      </w:pPr>
      <w:r>
        <w:rPr>
          <w:rFonts w:ascii="Arial" w:cs="Arial" w:eastAsia="Arial" w:hAnsi="Arial"/>
          <w:sz w:val="22"/>
          <w:szCs w:val="22"/>
        </w:rPr>
        <w:t xml:space="preserve">Train/test split: stratified 80/20 (686 train, 172 test), preserving the 6.4% positive rate in both sets.</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2.2  Model Results</w:t>
      </w:r>
    </w:p>
    <w:p>
      <w:pPr>
        <w:spacing w:after="60" w:before="200"/>
      </w:pPr>
      <w:r>
        <w:rPr>
          <w:rFonts w:ascii="Arial" w:cs="Arial" w:eastAsia="Arial" w:hAnsi="Arial"/>
          <w:b/>
          <w:bCs/>
          <w:color w:val="1A1A1A"/>
          <w:sz w:val="24"/>
          <w:szCs w:val="24"/>
        </w:rPr>
        <w:t xml:space="preserve">Logistic Regression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Full Model (with Dx)</w:t>
            </w:r>
          </w:p>
        </w:tc>
        <w:tc>
          <w:tcPr>
            <w:tcW w:type="dxa" w:w="34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No-Dx Model (risk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5-Fold CV AUC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0.610 ± 0.075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0.592 ± 0.062</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 AUC</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0.584</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(Abnormal)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Recall (Abnormal)</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0.45</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(Abnormal)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spacing w:after="60" w:before="200"/>
      </w:pPr>
      <w:r>
        <w:rPr>
          <w:rFonts w:ascii="Arial" w:cs="Arial" w:eastAsia="Arial" w:hAnsi="Arial"/>
          <w:b/>
          <w:bCs/>
          <w:color w:val="1A1A1A"/>
          <w:sz w:val="24"/>
          <w:szCs w:val="24"/>
        </w:rPr>
        <w:t xml:space="preserve">Random Forest + SMOTE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AUC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0.632</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Precision (Abnormal, τ=0.3)</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(Abnormal, τ=0.3)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F1 (Abnormal)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w:t>
            </w:r>
          </w:p>
        </w:tc>
      </w:tr>
    </w:tbl>
    <w:p>
      <w:pPr>
        <w:spacing w:after="80" w:before="80"/>
      </w:pPr>
      <w:r>
        <w:t xml:space="preserve"/>
      </w:r>
    </w:p>
    <w:p>
      <w:pPr>
        <w:spacing w:after="60" w:before="60"/>
      </w:pPr>
      <w:r>
        <w:rPr>
          <w:rFonts w:ascii="Arial" w:cs="Arial" w:eastAsia="Arial" w:hAnsi="Arial"/>
          <w:sz w:val="22"/>
          <w:szCs w:val="22"/>
        </w:rPr>
        <w:t xml:space="preserve">The Random Forest achieves a higher AUC (0.632 vs 0.584) and is selected as the operational model for triage scoring. In a clinical triage setting, recall is prioritized over precision — it is worse to miss a true abnormal case than to refer an extra healthy patient. The threshold was therefore lowered to 0.30 (vs. default 0.50) to improve sensitivity.</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2.3  Model Interpretation</w:t>
      </w:r>
    </w:p>
    <w:p>
      <w:pPr>
        <w:spacing w:after="60" w:before="200"/>
      </w:pPr>
      <w:r>
        <w:rPr>
          <w:rFonts w:ascii="Arial" w:cs="Arial" w:eastAsia="Arial" w:hAnsi="Arial"/>
          <w:b/>
          <w:bCs/>
          <w:color w:val="1A1A1A"/>
          <w:sz w:val="24"/>
          <w:szCs w:val="24"/>
        </w:rPr>
        <w:t xml:space="preserve">Logistic Regression — Odds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Odds Ratio</w:t>
            </w:r>
          </w:p>
        </w:tc>
        <w:tc>
          <w:tcPr>
            <w:tcW w:type="dxa" w:w="4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STD_burden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additional STD raises odds of abnormal by 48.5%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Dx:HPV</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1.235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Prior HPV diagnosis raises odds by 23.5%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additional year of HC use raises odds by 18.4%</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Dx:Cancer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1.152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Prior cancer diagnosis raises odds by 15.2%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additional pregnancy raises odds by 15.1%</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IUD (years)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1.144</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Each year of IUD use slightly raises odds by 14.4%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additional year of smoking raises odds by 11.6%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1.050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Each additional year of age raises odds by 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partners slightly decreases odds (after controlling for STD burden)</w:t>
            </w:r>
          </w:p>
        </w:tc>
      </w:tr>
    </w:tbl>
    <w:p>
      <w:pPr>
        <w:spacing w:after="80" w:before="80"/>
      </w:pPr>
      <w:r>
        <w:t xml:space="preserve"/>
      </w:r>
    </w:p>
    <w:p>
      <w:pPr>
        <w:spacing w:after="60" w:before="60"/>
      </w:pPr>
      <w:r>
        <w:rPr>
          <w:rFonts w:ascii="Arial" w:cs="Arial" w:eastAsia="Arial" w:hAnsi="Arial"/>
          <w:sz w:val="22"/>
          <w:szCs w:val="22"/>
        </w:rPr>
        <w:t xml:space="preserve">STD burden is the dominant clinical predictor. After controlling for STD history, the number of sexual partners shows a slight negative coefficient — suggesting that its bivariate association with risk operates primarily through the STD burden pathway.</w:t>
      </w:r>
    </w:p>
    <w:p>
      <w:pPr>
        <w:spacing w:after="80" w:before="80"/>
      </w:pPr>
      <w:r>
        <w:t xml:space="preserve"/>
      </w:r>
    </w:p>
    <w:p>
      <w:pPr>
        <w:spacing w:after="60" w:before="200"/>
      </w:pPr>
      <w:r>
        <w:rPr>
          <w:rFonts w:ascii="Arial" w:cs="Arial" w:eastAsia="Arial" w:hAnsi="Arial"/>
          <w:b/>
          <w:bCs/>
          <w:color w:val="1A1A1A"/>
          <w:sz w:val="24"/>
          <w:szCs w:val="24"/>
        </w:rPr>
        <w:t xml:space="preserve">Random Forest — Permutation Feature Importances</w:t>
      </w:r>
    </w:p>
    <w:p>
      <w:pPr>
        <w:spacing w:after="60" w:before="60"/>
      </w:pPr>
      <w:r>
        <w:rPr>
          <w:rFonts w:ascii="Arial" w:cs="Arial" w:eastAsia="Arial" w:hAnsi="Arial"/>
          <w:sz w:val="22"/>
          <w:szCs w:val="22"/>
        </w:rPr>
        <w:t xml:space="preserve">Permutation importance measures mean AUC drop when a feature is randomly shuffled (30 repeats). Higher = more important to the model: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tblGrid>
      <w:tr>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 AUC Drop</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Std Dev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STD_burden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0.0386</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Hormonal Contraceptives (years)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0.0725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0.0348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0.0421</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0.0280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0.0384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0.0068</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0.0129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0.0469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Dx:HPV, Dx:Cancer, RiskCluster, AgeBucket, IUD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spacing w:after="60" w:before="60"/>
      </w:pPr>
      <w:r>
        <w:rPr>
          <w:rFonts w:ascii="Arial" w:cs="Arial" w:eastAsia="Arial" w:hAnsi="Arial"/>
          <w:sz w:val="22"/>
          <w:szCs w:val="22"/>
        </w:rPr>
        <w:t xml:space="preserve">STD_burden and Hormonal Contraceptives (years) are the two most important features for the RF model. Notably, the Dx flags (Cancer, HPV) contribute very little to permutation importance despite their high odds ratios in the LR — they are rare binary variables that the RF learns to use narrowly.</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2.4  Capacity-Constrained Triage Rule</w:t>
      </w:r>
    </w:p>
    <w:p>
      <w:pPr>
        <w:spacing w:after="60" w:before="60"/>
      </w:pPr>
      <w:r>
        <w:rPr>
          <w:rFonts w:ascii="Arial" w:cs="Arial" w:eastAsia="Arial" w:hAnsi="Arial"/>
          <w:sz w:val="22"/>
          <w:szCs w:val="22"/>
        </w:rPr>
        <w:t xml:space="preserve">Using the RF predicted probability p, every patient is assigned to one of three triage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Clinical 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 Screening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annual/biannual follow-up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Low-risk; base rate below population average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Expedited Testing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0.15 ≤ p &lt; 0.40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Priority appointment within 4 weeks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Elevated risk; warrants closer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 0.40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specialist referral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High-risk; clinical evaluation required</w:t>
            </w:r>
          </w:p>
        </w:tc>
      </w:tr>
    </w:tbl>
    <w:p>
      <w:pPr>
        <w:spacing w:after="80" w:before="80"/>
      </w:pPr>
      <w:r>
        <w:t xml:space="preserve"/>
      </w:r>
    </w:p>
    <w:p>
      <w:pPr>
        <w:spacing w:after="60" w:before="200"/>
      </w:pPr>
      <w:r>
        <w:rPr>
          <w:rFonts w:ascii="Arial" w:cs="Arial" w:eastAsia="Arial" w:hAnsi="Arial"/>
          <w:b/>
          <w:bCs/>
          <w:color w:val="1A1A1A"/>
          <w:sz w:val="24"/>
          <w:szCs w:val="24"/>
        </w:rPr>
        <w:t xml:space="preserve">Triage Distribution Across Full Dataset (n=858)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Patient Count</w:t>
            </w:r>
          </w:p>
        </w:tc>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3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True Biopsy Positives Captured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(5.5% of all positives)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Expedited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463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54.0%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(23.6% of all positives)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 (70.9% of all positives)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858</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55 (100%)</w:t>
            </w:r>
          </w:p>
        </w:tc>
      </w:tr>
    </w:tbl>
    <w:p>
      <w:pPr>
        <w:spacing w:after="80" w:before="80"/>
      </w:pPr>
      <w:r>
        <w:t xml:space="preserve"/>
      </w:r>
    </w:p>
    <w:p>
      <w:pPr>
        <w:spacing w:after="60" w:before="60"/>
      </w:pPr>
      <w:r>
        <w:rPr>
          <w:rFonts w:ascii="Arial" w:cs="Arial" w:eastAsia="Arial" w:hAnsi="Arial"/>
          <w:sz w:val="22"/>
          <w:szCs w:val="22"/>
        </w:rPr>
        <w:t xml:space="preserve">The triage rule successfully concentrates true positive cases in the Referral category: 70.9% of all biopsy-positive patients land in the 7.9% of patients flagged for referral — an 8.9× enrichment of the positive rate (57.4% vs. 6.4% population base). The Expedited category captures a further 23.6%, meaning 94.5% of true positives are routed to either Expedited or Referral. Only 3 true positives (5.5%) are missed in Routine — an acceptable miss rate that Q3 explores further.</w:t>
      </w:r>
    </w:p>
    <w:p>
      <w:pPr>
        <w:spacing w:after="80" w:before="80"/>
      </w:pPr>
      <w:r>
        <w:t xml:space="preserve"/>
      </w:r>
    </w:p>
    <w:p>
      <w:pPr>
        <w:spacing w:after="60" w:before="200"/>
      </w:pPr>
      <w:r>
        <w:rPr>
          <w:rFonts w:ascii="Arial" w:cs="Arial" w:eastAsia="Arial" w:hAnsi="Arial"/>
          <w:b/>
          <w:bCs/>
          <w:color w:val="1A1A1A"/>
          <w:sz w:val="24"/>
          <w:szCs w:val="24"/>
        </w:rPr>
        <w:t xml:space="preserve">Sample Patient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200"/>
        <w:gridCol w:w="1400"/>
        <w:gridCol w:w="1200"/>
        <w:gridCol w:w="1400"/>
        <w:gridCol w:w="1000"/>
        <w:gridCol w:w="1660"/>
      </w:tblGrid>
      <w:tr>
        <w:tc>
          <w:tcPr>
            <w:tcW w:type="dxa" w:w="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Patient</w:t>
            </w:r>
          </w:p>
        </w:tc>
        <w:tc>
          <w:tcPr>
            <w:tcW w:type="dxa" w:w="7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STD Burden</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Smokes (yrs)</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Dx:Cancer</w:t>
            </w:r>
          </w:p>
        </w:tc>
        <w:tc>
          <w:tcPr>
            <w:tcW w:type="dxa" w:w="1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True Biopsy</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RF Prob</w:t>
            </w:r>
          </w:p>
        </w:tc>
        <w:tc>
          <w:tcPr>
            <w:tcW w:type="dxa" w:w="16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Triage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0.260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Expedited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257</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0.179</w:t>
            </w:r>
          </w:p>
        </w:tc>
        <w:tc>
          <w:tcPr>
            <w:tcW w:type="dxa" w:w="1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Expedited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Expedited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77</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0.108</w:t>
            </w:r>
          </w:p>
        </w:tc>
        <w:tc>
          <w:tcPr>
            <w:tcW w:type="dxa" w:w="1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Routine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w:t>
            </w:r>
          </w:p>
        </w:tc>
      </w:tr>
    </w:tbl>
    <w:p>
      <w:pPr>
        <w:spacing w:after="80" w:before="80"/>
      </w:pPr>
      <w:r>
        <w:t xml:space="preserve"/>
      </w:r>
    </w:p>
    <w:p>
      <w:pPr>
        <w:spacing w:after="60" w:before="60"/>
      </w:pPr>
      <w:r>
        <w:rPr>
          <w:rFonts w:ascii="Arial" w:cs="Arial" w:eastAsia="Arial" w:hAnsi="Arial"/>
          <w:sz w:val="22"/>
          <w:szCs w:val="22"/>
        </w:rPr>
        <w:t xml:space="preserve">Patient 257 — age 22, STD burden 2, true Biopsy=1 — correctly routed to Expedited with p=0.179. This demonstrates the model's ability to identify at-risk young patients who might be overlooked by age-only screening protocols.</w:t>
      </w:r>
    </w:p>
    <w:p>
      <w:pPr>
        <w:spacing w:after="80" w:before="80"/>
      </w:pPr>
      <w:r>
        <w:t xml:space="preserve"/>
      </w:r>
    </w:p>
    <w:p>
      <w:r>
        <w:br w:type="page"/>
      </w:r>
    </w:p>
    <w:p>
      <w:pPr>
        <w:pStyle w:val="Heading1"/>
        <w:spacing w:after="120" w:before="360"/>
      </w:pPr>
      <w:r>
        <w:rPr>
          <w:rFonts w:ascii="Arial" w:cs="Arial" w:eastAsia="Arial" w:hAnsi="Arial"/>
          <w:b/>
          <w:bCs/>
          <w:color w:val="1A3A6B"/>
          <w:sz w:val="32"/>
          <w:szCs w:val="32"/>
        </w:rPr>
        <w:t xml:space="preserve">DSS Question 3 — What-If Sensitivity Analysis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8160"/>
            <w:tcBorders>
              <w:top w:val="single" w:color="2E5FA3" w:sz="1"/>
              <w:left w:val="single" w:color="2E5FA3" w:sz="1"/>
              <w:bottom w:val="single" w:color="2E5FA3" w:sz="1"/>
              <w:right w:val="single" w:color="2E5FA3" w:sz="1"/>
            </w:tcBorders>
            <w:shd w:fill="EEF3FA" w:val="clear"/>
            <w:tcMar>
              <w:top w:type="dxa" w:w="80"/>
              <w:left w:type="dxa" w:w="160"/>
              <w:bottom w:type="dxa" w:w="80"/>
              <w:right w:type="dxa" w:w="120"/>
            </w:tcMar>
          </w:tcPr>
          <w:p>
            <w:r>
              <w:rPr>
                <w:rFonts w:ascii="Arial" w:cs="Arial" w:eastAsia="Arial" w:hAnsi="Arial"/>
                <w:i/>
                <w:iCs/>
                <w:sz w:val="21"/>
                <w:szCs w:val="21"/>
              </w:rPr>
              <w:t xml:space="preserve">How sensitive is predicted risk to uncertainty in key inputs? How robust are recommendations to missing/noisy data? What referral threshold best balances missed cases vs. over-referral under capacity and cost constraints?</w:t>
            </w:r>
          </w:p>
        </w:tc>
      </w:tr>
    </w:tbl>
    <w:p>
      <w:pPr>
        <w:spacing w:after="80" w:before="80"/>
      </w:pPr>
      <w:r>
        <w:t xml:space="preserve"/>
      </w:r>
    </w:p>
    <w:p>
      <w:pPr>
        <w:pStyle w:val="Heading2"/>
        <w:spacing w:after="80" w:before="280"/>
      </w:pPr>
      <w:r>
        <w:rPr>
          <w:rFonts w:ascii="Arial" w:cs="Arial" w:eastAsia="Arial" w:hAnsi="Arial"/>
          <w:b/>
          <w:bCs/>
          <w:color w:val="2E5FA3"/>
          <w:sz w:val="26"/>
          <w:szCs w:val="26"/>
        </w:rPr>
        <w:t xml:space="preserve">3.1  Importance of the Sensitivity Analysis</w:t>
      </w:r>
    </w:p>
    <w:p>
      <w:pPr>
        <w:spacing w:after="60" w:before="60"/>
      </w:pPr>
      <w:r>
        <w:rPr>
          <w:rFonts w:ascii="Arial" w:cs="Arial" w:eastAsia="Arial" w:hAnsi="Arial"/>
          <w:sz w:val="22"/>
          <w:szCs w:val="22"/>
        </w:rPr>
        <w:t xml:space="preserve">Clinical decision support models are deployed in environments of inherent uncertainty. Patients may under-report sensitive behaviors (smoking, STD history). Electronic health records are routinely incomplete. Clinics operate under hard capacity limits that constrain how many patients can be referred each week. A model that works well under ideal conditions may fail catastrophically when these real-world factors are present.</w:t>
      </w:r>
    </w:p>
    <w:p>
      <w:pPr>
        <w:spacing w:after="80" w:before="80"/>
      </w:pPr>
      <w:r>
        <w:t xml:space="preserve"/>
      </w:r>
    </w:p>
    <w:p>
      <w:pPr>
        <w:spacing w:after="60" w:before="60"/>
      </w:pPr>
      <w:r>
        <w:rPr>
          <w:rFonts w:ascii="Arial" w:cs="Arial" w:eastAsia="Arial" w:hAnsi="Arial"/>
          <w:sz w:val="22"/>
          <w:szCs w:val="22"/>
        </w:rPr>
        <w:t xml:space="preserve">The sensitivity analysis directly answers three operational questions:</w:t>
      </w:r>
    </w:p>
    <w:p>
      <w:pPr>
        <w:pStyle w:val="ListParagraph"/>
        <w:numPr>
          <w:ilvl w:val="0"/>
          <w:numId w:val="2"/>
        </w:numPr>
        <w:spacing w:after="40" w:before="40"/>
      </w:pPr>
      <w:r>
        <w:rPr>
          <w:rFonts w:ascii="Arial" w:cs="Arial" w:eastAsia="Arial" w:hAnsi="Arial"/>
          <w:sz w:val="22"/>
          <w:szCs w:val="22"/>
        </w:rPr>
        <w:t xml:space="preserve">If a patient's smoking or STD history is unknown or misreported, how much does the predicted risk score change — and does the triage assignment flip?</w:t>
      </w:r>
    </w:p>
    <w:p>
      <w:pPr>
        <w:pStyle w:val="ListParagraph"/>
        <w:numPr>
          <w:ilvl w:val="0"/>
          <w:numId w:val="2"/>
        </w:numPr>
        <w:spacing w:after="40" w:before="40"/>
      </w:pPr>
      <w:r>
        <w:rPr>
          <w:rFonts w:ascii="Arial" w:cs="Arial" w:eastAsia="Arial" w:hAnsi="Arial"/>
          <w:sz w:val="22"/>
          <w:szCs w:val="22"/>
        </w:rPr>
        <w:t xml:space="preserve">As records become increasingly incomplete (10% → 30% missing), does model performance degrade smoothly or cliff?</w:t>
      </w:r>
    </w:p>
    <w:p>
      <w:pPr>
        <w:pStyle w:val="ListParagraph"/>
        <w:numPr>
          <w:ilvl w:val="0"/>
          <w:numId w:val="2"/>
        </w:numPr>
        <w:spacing w:after="40" w:before="40"/>
      </w:pPr>
      <w:r>
        <w:rPr>
          <w:rFonts w:ascii="Arial" w:cs="Arial" w:eastAsia="Arial" w:hAnsi="Arial"/>
          <w:sz w:val="22"/>
          <w:szCs w:val="22"/>
        </w:rPr>
        <w:t xml:space="preserve">What decision threshold τ minimizes total clinical cost (weighted missed cases + unnecessary referrals) under three clinic capacity scenarios?</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3.2  Stated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5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Missingness is MCAR (Missing Completely At Random)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Conservative worst-case; real MAR/MNAR missingness may degrade performance further</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Cost function is linear and additive: C = α·FN + β·FP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Standard assumption in clinical triage decision analysis; ignores cascade effects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FN cost α=5, FP cost β=1 (baseline)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an abnormal case is 5× worse than an unnecessary referral — standard clinical asymmetry</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Capacity constraints are hard ceilings on referral rate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Simplification; real constraints involve scheduling slots, not just rates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SMOTE is applied only inside training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data leakage; test set is never synthetically augmented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K-Means cluster labels are stable across train/test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Validated by consistent cluster sizes and outcome rates across splits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Tornado analysis holds all other features at their median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one-at-a-time (OAT) sensitivity method; ignores feature interactions</w:t>
            </w:r>
          </w:p>
        </w:tc>
      </w:tr>
    </w:tbl>
    <w:p>
      <w:pPr>
        <w:spacing w:after="80" w:before="80"/>
      </w:pPr>
      <w:r>
        <w:t xml:space="preserve"/>
      </w:r>
    </w:p>
    <w:p>
      <w:pPr>
        <w:pStyle w:val="Heading2"/>
        <w:spacing w:after="80" w:before="280"/>
      </w:pPr>
      <w:r>
        <w:rPr>
          <w:rFonts w:ascii="Arial" w:cs="Arial" w:eastAsia="Arial" w:hAnsi="Arial"/>
          <w:b/>
          <w:bCs/>
          <w:color w:val="2E5FA3"/>
          <w:sz w:val="26"/>
          <w:szCs w:val="26"/>
        </w:rPr>
        <w:t xml:space="preserve">3.3  Scenario A — Input Uncertainty</w:t>
      </w:r>
    </w:p>
    <w:p>
      <w:pPr>
        <w:spacing w:after="60" w:before="200"/>
      </w:pPr>
      <w:r>
        <w:rPr>
          <w:rFonts w:ascii="Arial" w:cs="Arial" w:eastAsia="Arial" w:hAnsi="Arial"/>
          <w:b/>
          <w:bCs/>
          <w:color w:val="1A1A1A"/>
          <w:sz w:val="24"/>
          <w:szCs w:val="24"/>
        </w:rPr>
        <w:t xml:space="preserve">What-If: Smoking Status Misreported</w:t>
      </w:r>
    </w:p>
    <w:p>
      <w:pPr>
        <w:spacing w:after="60" w:before="60"/>
      </w:pPr>
      <w:r>
        <w:rPr>
          <w:rFonts w:ascii="Arial" w:cs="Arial" w:eastAsia="Arial" w:hAnsi="Arial"/>
          <w:sz w:val="22"/>
          <w:szCs w:val="22"/>
        </w:rPr>
        <w:t xml:space="preserve">All non-smoking patients were assigned a smoking duration equal to the median among actual smokers (7.0 years) and the model was re-run: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160"/>
      </w:tblGrid>
      <w:tr>
        <w:tc>
          <w:tcPr>
            <w:tcW w:type="dxa" w:w="3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Smoking Flip (→ 7 yrs)</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STD Flip (→ burden=2)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Δp (change in predicted probability)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+0.223</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Maximum Δp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+0.264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+0.551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Patients with Δp &gt; 0.05 (material increase)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(4.3%)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734 (85.5%)</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Triage category switches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94 (11.0%)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607 (70.7%)</w:t>
            </w:r>
          </w:p>
        </w:tc>
      </w:tr>
    </w:tbl>
    <w:p>
      <w:pPr>
        <w:spacing w:after="80" w:before="80"/>
      </w:pPr>
      <w:r>
        <w:t xml:space="preserve"/>
      </w:r>
    </w:p>
    <w:p>
      <w:pPr>
        <w:spacing w:after="60" w:before="60"/>
      </w:pPr>
      <w:r>
        <w:rPr>
          <w:rFonts w:ascii="Arial" w:cs="Arial" w:eastAsia="Arial" w:hAnsi="Arial"/>
          <w:sz w:val="22"/>
          <w:szCs w:val="22"/>
        </w:rPr>
        <w:t xml:space="preserve">Interpretation: Smoking misreporting has a modest aggregate effect — only 37 patients see a material risk increase, and only 94 switch triage category. The mean Δp is near zero because some patients' probabilities rise and others' fall depending on interaction effects captured by the RF model.</w:t>
      </w:r>
    </w:p>
    <w:p>
      <w:pPr>
        <w:spacing w:after="80" w:before="80"/>
      </w:pPr>
      <w:r>
        <w:t xml:space="preserve"/>
      </w:r>
    </w:p>
    <w:p>
      <w:pPr>
        <w:spacing w:after="60" w:before="60"/>
      </w:pPr>
      <w:r>
        <w:rPr>
          <w:rFonts w:ascii="Arial" w:cs="Arial" w:eastAsia="Arial" w:hAnsi="Arial"/>
          <w:sz w:val="22"/>
          <w:szCs w:val="22"/>
        </w:rPr>
        <w:t xml:space="preserve">STD history misreporting, however, is catastrophic: 70.7% of all 858 patients would switch triage category if their STD burden were actually 2 (instead of the recorded 0). The mean Δp of +0.223 means nearly every patient would move up at least one triage tier. This confirms that STD history is the single most clinically critical data element — its collection accuracy determines the integrity of the entire triage system.</w:t>
      </w:r>
    </w:p>
    <w:p>
      <w:pPr>
        <w:spacing w:after="80" w:before="80"/>
      </w:pPr>
      <w:r>
        <w:t xml:space="preserve"/>
      </w:r>
    </w:p>
    <w:p>
      <w:pPr>
        <w:spacing w:after="60" w:before="60"/>
      </w:pPr>
      <w:r>
        <w:rPr>
          <w:rFonts w:ascii="Arial" w:cs="Arial" w:eastAsia="Arial" w:hAnsi="Arial"/>
          <w:sz w:val="22"/>
          <w:szCs w:val="22"/>
        </w:rPr>
        <w:t xml:space="preserve">Clinical implication: Clinics should invest in systematic, private, and structured STD history collection protocols. STD data quality has 6× the triage impact of smoking data quality.</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3.4  Scenario B — Missing Data Robustness</w:t>
      </w:r>
    </w:p>
    <w:p>
      <w:pPr>
        <w:spacing w:after="60" w:before="200"/>
      </w:pPr>
      <w:r>
        <w:rPr>
          <w:rFonts w:ascii="Arial" w:cs="Arial" w:eastAsia="Arial" w:hAnsi="Arial"/>
          <w:b/>
          <w:bCs/>
          <w:color w:val="1A1A1A"/>
          <w:sz w:val="24"/>
          <w:szCs w:val="24"/>
        </w:rPr>
        <w:t xml:space="preserve">AUC Degradation Under Increasing MCAR Missingness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Missingness Level</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Mean AUC (20 repeats)</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2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AUC Drop from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0.627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0.023</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-0.046</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0.610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0.039</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-0.047</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0.593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0.059</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-0.059</w:t>
            </w:r>
          </w:p>
        </w:tc>
      </w:tr>
    </w:tbl>
    <w:p>
      <w:pPr>
        <w:spacing w:after="80" w:before="80"/>
      </w:pPr>
      <w:r>
        <w:t xml:space="preserve"/>
      </w:r>
    </w:p>
    <w:p>
      <w:pPr>
        <w:spacing w:after="60" w:before="60"/>
      </w:pPr>
      <w:r>
        <w:rPr>
          <w:rFonts w:ascii="Arial" w:cs="Arial" w:eastAsia="Arial" w:hAnsi="Arial"/>
          <w:sz w:val="22"/>
          <w:szCs w:val="22"/>
        </w:rPr>
        <w:t xml:space="preserve">The model degrades only 0.059 AUC units from 0% to 30% random missingness — a relatively small and smooth decline, indicating the model is robust under MCAR conditions. However, the standard deviation doubles from 0.000 to 0.079 as missingness increases, meaning prediction consistency for individual patients degrades significantly even if the aggregate AUC holds. This matters for clinical deployment: a patient with 30% of their record missing may receive very different triage assignments across repeated evaluations.</w:t>
      </w:r>
    </w:p>
    <w:p>
      <w:pPr>
        <w:spacing w:after="80" w:before="80"/>
      </w:pPr>
      <w:r>
        <w:t xml:space="preserve"/>
      </w:r>
    </w:p>
    <w:p>
      <w:pPr>
        <w:spacing w:after="60" w:before="200"/>
      </w:pPr>
      <w:r>
        <w:rPr>
          <w:rFonts w:ascii="Arial" w:cs="Arial" w:eastAsia="Arial" w:hAnsi="Arial"/>
          <w:b/>
          <w:bCs/>
          <w:color w:val="1A1A1A"/>
          <w:sz w:val="24"/>
          <w:szCs w:val="24"/>
        </w:rPr>
        <w:t xml:space="preserve">Per-Feature AUC Drop When Fully Masked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2760"/>
      </w:tblGrid>
      <w:tr>
        <w:tc>
          <w:tcPr>
            <w:tcW w:type="dxa" w:w="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AUC Drop When Masked</w:t>
            </w:r>
          </w:p>
        </w:tc>
        <w:tc>
          <w:tcPr>
            <w:tcW w:type="dxa" w:w="2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Clinical 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0.0875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required field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STD_burden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0.0689</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 required field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Hormonal Contraceptives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verify completeness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0.0226</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 typically always recorded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Smokes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0.0147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6–11</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RiskCluster, Dx:Cancer/HPV, AgeBucket, IUD, Pregnancies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0.005</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Minimal impact when missing</w:t>
            </w:r>
          </w:p>
        </w:tc>
      </w:tr>
    </w:tbl>
    <w:p>
      <w:pPr>
        <w:spacing w:after="80" w:before="80"/>
      </w:pPr>
      <w:r>
        <w:t xml:space="preserve"/>
      </w:r>
    </w:p>
    <w:p>
      <w:pPr>
        <w:spacing w:after="60" w:before="60"/>
      </w:pPr>
      <w:r>
        <w:rPr>
          <w:rFonts w:ascii="Arial" w:cs="Arial" w:eastAsia="Arial" w:hAnsi="Arial"/>
          <w:sz w:val="22"/>
          <w:szCs w:val="22"/>
        </w:rPr>
        <w:t xml:space="preserve">Number of sexual partners and STD_burden are the two features whose absence hurts model performance most. These should be flagged as mandatory fields in any clinical intake form or EHR integration. Their combined AUC drop (0.16 units) represents a loss equivalent to the Random Forest's entire margin over the baseline Logistic Regression.</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3.5  Scenario C — Threshold Optimisation</w:t>
      </w:r>
    </w:p>
    <w:p>
      <w:pPr>
        <w:spacing w:after="60" w:before="200"/>
      </w:pPr>
      <w:r>
        <w:rPr>
          <w:rFonts w:ascii="Arial" w:cs="Arial" w:eastAsia="Arial" w:hAnsi="Arial"/>
          <w:b/>
          <w:bCs/>
          <w:color w:val="1A1A1A"/>
          <w:sz w:val="24"/>
          <w:szCs w:val="24"/>
        </w:rPr>
        <w:t xml:space="preserve">Cost Function and Capacity Scenarios</w:t>
      </w:r>
    </w:p>
    <w:p>
      <w:pPr>
        <w:spacing w:after="60" w:before="60"/>
      </w:pPr>
      <w:r>
        <w:rPr>
          <w:rFonts w:ascii="Arial" w:cs="Arial" w:eastAsia="Arial" w:hAnsi="Arial"/>
          <w:sz w:val="22"/>
          <w:szCs w:val="22"/>
        </w:rPr>
        <w:t xml:space="preserve">The cost function C(τ) = α·FN(τ) + β·FP(τ) was evaluated across thresholds τ ∈ [0.05, 0.80] under three alpha values (relative cost of a missed case) and three capacity scenarios (maximum referral rate the clinic can absorb):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1560"/>
      </w:tblGrid>
      <w:tr>
        <w:tc>
          <w:tcPr>
            <w:tcW w:type="dxa" w:w="1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2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Capacity Scenario</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Optimal Threshold τ*</w:t>
            </w:r>
          </w:p>
        </w:tc>
        <w:tc>
          <w:tcPr>
            <w:tcW w:type="dxa" w:w="1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Minimum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α=3 (lenient)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(≤5%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α=3 (lenient)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 (≤10% referrals)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α=3 (lenient)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Relaxed (≤20%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α=5 (baseline)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Tight (≤5% referrals)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0.71</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α=5 (baseline)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(≤10%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α=5 (baseline)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Relaxed (≤20% referrals)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α=10 (strict)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(≤5%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α=10 (strict)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 (≤10% referrals)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α=10 (strict)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Relaxed (≤20% referrals)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bl>
    <w:p>
      <w:pPr>
        <w:spacing w:after="80" w:before="80"/>
      </w:pPr>
      <w:r>
        <w:t xml:space="preserve"/>
      </w:r>
    </w:p>
    <w:p>
      <w:pPr>
        <w:spacing w:after="60" w:before="60"/>
      </w:pPr>
      <w:r>
        <w:rPr>
          <w:rFonts w:ascii="Arial" w:cs="Arial" w:eastAsia="Arial" w:hAnsi="Arial"/>
          <w:sz w:val="22"/>
          <w:szCs w:val="22"/>
        </w:rPr>
        <w:t xml:space="preserve">Key findings from the cost curve analysis:</w:t>
      </w:r>
    </w:p>
    <w:p>
      <w:pPr>
        <w:pStyle w:val="ListParagraph"/>
        <w:numPr>
          <w:ilvl w:val="0"/>
          <w:numId w:val="2"/>
        </w:numPr>
        <w:spacing w:after="40" w:before="40"/>
      </w:pPr>
      <w:r>
        <w:rPr>
          <w:rFonts w:ascii="Arial" w:cs="Arial" w:eastAsia="Arial" w:hAnsi="Arial"/>
          <w:sz w:val="22"/>
          <w:szCs w:val="22"/>
        </w:rPr>
        <w:t xml:space="preserve">Under tight capacity (≤5% referrals), the optimal threshold rises to 0.71 across all alpha values. This means the clinic is forced to accept substantially more missed cases (higher FN) to stay within referral capacity — a real and quantified trade-off.</w:t>
      </w:r>
    </w:p>
    <w:p>
      <w:pPr>
        <w:pStyle w:val="ListParagraph"/>
        <w:numPr>
          <w:ilvl w:val="0"/>
          <w:numId w:val="2"/>
        </w:numPr>
        <w:spacing w:after="40" w:before="40"/>
      </w:pPr>
      <w:r>
        <w:rPr>
          <w:rFonts w:ascii="Arial" w:cs="Arial" w:eastAsia="Arial" w:hAnsi="Arial"/>
          <w:sz w:val="22"/>
          <w:szCs w:val="22"/>
        </w:rPr>
        <w:t xml:space="preserve">Under moderate and relaxed capacity, the optimal threshold converges to 0.40 regardless of alpha. This stability across cost assumptions makes τ=0.40 a robust operational default for non-capacity-constrained settings.</w:t>
      </w:r>
    </w:p>
    <w:p>
      <w:pPr>
        <w:pStyle w:val="ListParagraph"/>
        <w:numPr>
          <w:ilvl w:val="0"/>
          <w:numId w:val="2"/>
        </w:numPr>
        <w:spacing w:after="40" w:before="40"/>
      </w:pPr>
      <w:r>
        <w:rPr>
          <w:rFonts w:ascii="Arial" w:cs="Arial" w:eastAsia="Arial" w:hAnsi="Arial"/>
          <w:sz w:val="22"/>
          <w:szCs w:val="22"/>
        </w:rPr>
        <w:t xml:space="preserve">The cost jumps sharply when alpha rises from 3 to 5 under tight constraints (33→55), but stays proportional under moderate/relaxed capacity (33→47). This means capacity constraints are particularly costly when missed cases are weighted heavily.</w:t>
      </w:r>
    </w:p>
    <w:p>
      <w:pPr>
        <w:spacing w:after="80" w:before="80"/>
      </w:pPr>
      <w:r>
        <w:t xml:space="preserve"/>
      </w:r>
    </w:p>
    <w:p>
      <w:pPr>
        <w:spacing w:after="60" w:before="60"/>
      </w:pPr>
      <w:r>
        <w:rPr>
          <w:rFonts w:ascii="Arial" w:cs="Arial" w:eastAsia="Arial" w:hAnsi="Arial"/>
          <w:sz w:val="22"/>
          <w:szCs w:val="22"/>
        </w:rPr>
        <w:t xml:space="preserve">Recommendation: Use τ=0.40 as the default referral threshold for routine operations (moderate capacity). During high-volume screening campaigns when capacity is relaxed, lower τ to 0.30–0.35 to capture additional true positives. If the clinic is operating at tight capacity, τ=0.71 minimizes total cost but accepts a meaningful increase in missed cases — and this trade-off should be explicitly communicated to clinical leadership.</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3.6  Tornado Chart — Risk Score Volatility</w:t>
      </w:r>
    </w:p>
    <w:p>
      <w:pPr>
        <w:spacing w:after="60" w:before="60"/>
      </w:pPr>
      <w:r>
        <w:rPr>
          <w:rFonts w:ascii="Arial" w:cs="Arial" w:eastAsia="Arial" w:hAnsi="Arial"/>
          <w:sz w:val="22"/>
          <w:szCs w:val="22"/>
        </w:rPr>
        <w:t xml:space="preserve">The tornado chart measures how much the predicted probability of a median patient changes when each feature is moved from its 10th to 90th percentile, holding all others constant: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000"/>
        <w:gridCol w:w="1000"/>
        <w:gridCol w:w="1200"/>
        <w:gridCol w:w="1200"/>
        <w:gridCol w:w="1060"/>
      </w:tblGrid>
      <w:tr>
        <w:tc>
          <w:tcPr>
            <w:tcW w:type="dxa" w:w="5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P10 Value</w:t>
            </w:r>
          </w:p>
        </w:tc>
        <w:tc>
          <w:tcPr>
            <w:tcW w:type="dxa" w:w="1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P90 Value</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Prob at P10</w:t>
            </w:r>
          </w:p>
        </w:tc>
        <w:tc>
          <w:tcPr>
            <w:tcW w:type="dxa" w:w="1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Prob at P90</w:t>
            </w:r>
          </w:p>
        </w:tc>
        <w:tc>
          <w:tcPr>
            <w:tcW w:type="dxa" w:w="10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Range (Δ)</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STD_burden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0.5691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0.4633</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 of pregnancies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0.0506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0.3341</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0.2835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IUD (years)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0.2285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0.1227</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AgeBucket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0.1681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0.1059</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0.0622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sexual partners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0.1952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0.0473</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Dx:Cancer</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0.1058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0.1385</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0.0327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RiskCluster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0.1390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0.0332</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8–11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HC(yrs), Dx:HPV, Age, Smokes(yrs)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0.032</w:t>
            </w:r>
          </w:p>
        </w:tc>
      </w:tr>
    </w:tbl>
    <w:p>
      <w:pPr>
        <w:spacing w:after="80" w:before="80"/>
      </w:pPr>
      <w:r>
        <w:t xml:space="preserve"/>
      </w:r>
    </w:p>
    <w:p>
      <w:pPr>
        <w:spacing w:after="60" w:before="60"/>
      </w:pPr>
      <w:r>
        <w:rPr>
          <w:rFonts w:ascii="Arial" w:cs="Arial" w:eastAsia="Arial" w:hAnsi="Arial"/>
          <w:sz w:val="22"/>
          <w:szCs w:val="22"/>
        </w:rPr>
        <w:t xml:space="preserve">STD_burden dominates the tornado chart with a probability range of 0.46 — moving this one variable from 0 to 1 STD shifts the median patient's predicted risk from 10.6% to 56.9%, a 5.4× increase. This finding corroborates Scenario A: STD history is not just the strongest predictor, it is also the variable whose uncertainty (whether recorded accurately) most dramatically affects clinical recommendations.</w:t>
      </w:r>
    </w:p>
    <w:p>
      <w:pPr>
        <w:spacing w:after="80" w:before="80"/>
      </w:pPr>
      <w:r>
        <w:t xml:space="preserve"/>
      </w:r>
    </w:p>
    <w:p>
      <w:pPr>
        <w:spacing w:after="60" w:before="60"/>
      </w:pPr>
      <w:r>
        <w:rPr>
          <w:rFonts w:ascii="Arial" w:cs="Arial" w:eastAsia="Arial" w:hAnsi="Arial"/>
          <w:sz w:val="22"/>
          <w:szCs w:val="22"/>
        </w:rPr>
        <w:t xml:space="preserve">Number of pregnancies ranks second with a range of 0.28 — this was less prominent in correlation analysis but the RF model has learned a non-linear interaction between pregnancy count and other factors that significantly amplifies risk at high values (4+).</w:t>
      </w:r>
    </w:p>
    <w:p>
      <w:pPr>
        <w:spacing w:after="80" w:before="80"/>
      </w:pPr>
      <w:r>
        <w:t xml:space="preserve"/>
      </w:r>
    </w:p>
    <w:p>
      <w:pPr>
        <w:spacing w:after="60" w:before="60"/>
      </w:pPr>
      <w:r>
        <w:rPr>
          <w:rFonts w:ascii="Arial" w:cs="Arial" w:eastAsia="Arial" w:hAnsi="Arial"/>
          <w:sz w:val="22"/>
          <w:szCs w:val="22"/>
        </w:rPr>
        <w:t xml:space="preserve">IUD years ranks third (range = 0.12), consistent with the permutation importance analysis showing IUD (years) can both increase and decrease predicted risk depending on other covariates — a non-linear effect the logistic regression's linear odds ratio misses.</w:t>
      </w:r>
    </w:p>
    <w:p>
      <w:pPr>
        <w:spacing w:after="80" w:before="80"/>
      </w:pPr>
      <w:r>
        <w:t xml:space="preserve"/>
      </w:r>
    </w:p>
    <w:p>
      <w:pPr>
        <w:pStyle w:val="Heading2"/>
        <w:spacing w:after="80" w:before="280"/>
      </w:pPr>
      <w:r>
        <w:rPr>
          <w:rFonts w:ascii="Arial" w:cs="Arial" w:eastAsia="Arial" w:hAnsi="Arial"/>
          <w:b/>
          <w:bCs/>
          <w:color w:val="2E5FA3"/>
          <w:sz w:val="26"/>
          <w:szCs w:val="26"/>
        </w:rPr>
        <w:t xml:space="preserve">3.7  Conclusions</w:t>
      </w:r>
    </w:p>
    <w:p>
      <w:pPr>
        <w:spacing w:after="60" w:before="200"/>
      </w:pPr>
      <w:r>
        <w:rPr>
          <w:rFonts w:ascii="Arial" w:cs="Arial" w:eastAsia="Arial" w:hAnsi="Arial"/>
          <w:b/>
          <w:bCs/>
          <w:color w:val="1A1A1A"/>
          <w:sz w:val="24"/>
          <w:szCs w:val="24"/>
        </w:rPr>
        <w:t xml:space="preserve">Summary of What-If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0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c>
          <w:tcPr>
            <w:tcW w:type="dxa" w:w="4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Operational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 Smoking flip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triage switches; modest mean Δp = -0.007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Smoking data: low priority for data quality investment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A2 — STD flip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70.7% triage switches; mean Δp = +0.223</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 data: highest priority — mandatory intake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Missingness 0→30%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drops 0.059; SD doubles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'Number of sexual partners' and 'STD_burden' as required fields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 — Per-feature masking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Masking 'partners' alone = -0.088 AUC</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fields alone account for &gt;15% of model's discriminative 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Threshold sweep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τ = 0.40 (moderate), 0.71 (tight capacity)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τ=0.40 as default; adjust to 0.71 under staffing constraints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Tornado</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STD_burden drives 47% probability range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quality of STD history determines triage integrity</w:t>
            </w:r>
          </w:p>
        </w:tc>
      </w:tr>
    </w:tbl>
    <w:p>
      <w:pPr>
        <w:spacing w:after="80" w:before="80"/>
      </w:pPr>
      <w:r>
        <w:t xml:space="preserve"/>
      </w:r>
    </w:p>
    <w:p>
      <w:pPr>
        <w:spacing w:after="60" w:before="60"/>
      </w:pPr>
      <w:r>
        <w:rPr>
          <w:rFonts w:ascii="Arial" w:cs="Arial" w:eastAsia="Arial" w:hAnsi="Arial"/>
          <w:sz w:val="22"/>
          <w:szCs w:val="22"/>
        </w:rPr>
        <w:t xml:space="preserve">Together, the three DSS questions form a coherent clinical decision support framework: Q1 identifies which risk factors matter and why; Q2 translates that knowledge into probability scores and triage recommendations; Q3 stress-tests those recommendations under the real-world conditions of misreporting, data gaps, and capacity constraints — providing clinicians with an honest, calibrated view of what the model can and cannot reliably do.</w:t>
      </w:r>
    </w:p>
    <w:p>
      <w:pPr>
        <w:spacing w:after="80" w:before="8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2026-04-17T21:10:35.353Z</dcterms:created>
  <dcterms:modified xsi:type="dcterms:W3CDTF">2026-04-17T21:10:35.354Z</dcterms:modified>
</cp:coreProperties>
</file>

<file path=docProps/custom.xml><?xml version="1.0" encoding="utf-8"?>
<Properties xmlns="http://schemas.openxmlformats.org/officeDocument/2006/custom-properties" xmlns:vt="http://schemas.openxmlformats.org/officeDocument/2006/docPropsVTypes"/>
</file>