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BRAZILIAN E-COMMERCE</w:t>
      </w:r>
    </w:p>
    <w:p>
      <w:pPr>
        <w:jc w:val="center"/>
      </w:pPr>
      <w:r>
        <w:rPr>
          <w:b/>
          <w:sz w:val="54"/>
        </w:rPr>
        <w:t>Order Lifecycle Funnel Analysis</w:t>
      </w:r>
    </w:p>
    <w:p>
      <w:pPr>
        <w:jc w:val="center"/>
      </w:pPr>
      <w:r>
        <w:rPr>
          <w:i/>
          <w:sz w:val="28"/>
        </w:rPr>
        <w:t>Analyst Insight Report</w:t>
      </w:r>
    </w:p>
    <w:p>
      <w:pPr>
        <w:jc w:val="center"/>
      </w:pPr>
      <w:r>
        <w:rPr>
          <w:sz w:val="22"/>
        </w:rPr>
        <w:t>PostgreSQL-based analysis of order progression, fulfillment, delivery performance, customer satisfaction, and retention</w:t>
      </w:r>
    </w:p>
    <w:tbl>
      <w:tblPr>
        <w:tblStyle w:val="TableGrid"/>
        <w:tblW w:type="auto" w:w="0"/>
        <w:tblLook w:firstColumn="1" w:firstRow="1" w:lastColumn="0" w:lastRow="0" w:noHBand="0" w:noVBand="1" w:val="04A0"/>
      </w:tblPr>
      <w:tblGrid>
        <w:gridCol w:w="9936"/>
      </w:tblGrid>
      <w:tr>
        <w:tc>
          <w:tcPr>
            <w:tcW w:type="dxa" w:w="9936"/>
            <w:shd w:fill="EEF5FB"/>
          </w:tcPr>
          <w:p>
            <w:r>
              <w:rPr>
                <w:b/>
                <w:sz w:val="22"/>
              </w:rPr>
              <w:t>Executive takeaway</w:t>
              <w:br/>
            </w:r>
            <w:r>
              <w:t xml:space="preserve"> The marketplace demonstrates strong order fulfillment, with 97.02% of orders reaching delivery. However, customer retention is weak: only 3.12% of unique customers are repeat customers. The clearest customer-experience signal is delivery reliability: late orders average 2.57/5 compared with 4.29/5 for on-time orders, and are approximately 7× more likely to receive a 1-star review.</w:t>
            </w:r>
          </w:p>
        </w:tc>
      </w:tr>
    </w:tbl>
    <w:p/>
    <w:p>
      <w:r>
        <w:br w:type="page"/>
      </w:r>
    </w:p>
    <w:p>
      <w:pPr>
        <w:pStyle w:val="Heading1"/>
      </w:pPr>
      <w:r>
        <w:t>1. Executive Summary</w:t>
      </w:r>
    </w:p>
    <w:p>
      <w:r>
        <w:t>This analysis evaluates the Olist Brazilian e-commerce marketplace as an order lifecycle rather than a traditional website conversion funnel. The dataset does not contain visitor, browsing-session, product-view, or cart events, so a visitor-to-purchase funnel cannot be measured reliably. Instead, the analysis follows an order from placement through approval, shipment, delivery, and post-delivery review.</w:t>
      </w:r>
    </w:p>
    <w:p>
      <w:r>
        <w:t>The overall operational picture is strong: 99,441 orders were placed, 99,281 were approved, 97,658 reached carrier shipment, and 96,476 had a recorded customer-delivery timestamp. This corresponds to a 97.02% order-to-delivery completion rate. The largest time-consuming stage is shipment to customer delivery, averaging 223.94 hours, or about 9.3 days.</w:t>
      </w:r>
    </w:p>
    <w:p>
      <w:r>
        <w:t>Customer satisfaction is positive overall, with an average review score of 4.09/5 and 79.47% of review-score records rated 4 or 5 stars. Nevertheless, the 11.89% share of 1-star reviews is material. Delivery performance provides the strongest explanatory signal found: on-time orders average 4.29/5, while late orders average 2.57/5. Moreover, 46.24% of reviewed late orders received 1 star versus 6.62% for on-time orders.</w:t>
      </w:r>
    </w:p>
    <w:p>
      <w:r>
        <w:t>The most important strategic concern is retention. Only 3.12% of unique customers are repeat customers, meaning the marketplace converts orders successfully but has substantial room to improve customer loyalty.</w:t>
      </w:r>
    </w:p>
    <w:p>
      <w:pPr>
        <w:pStyle w:val="Heading1"/>
      </w:pPr>
      <w:r>
        <w:t>2. Order Lifecycle Funnel</w:t>
      </w:r>
    </w:p>
    <w:p>
      <w:r>
        <w:t>The funnel is defined as: Order Placed → Approved → Shipped to Carrier → Delivered → Reviewed. Stage conversion is measured from the immediately preceding stage.</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sz w:val="18"/>
              </w:rPr>
              <w:t>Funnel stage</w:t>
            </w:r>
          </w:p>
        </w:tc>
        <w:tc>
          <w:tcPr>
            <w:tcW w:type="dxa" w:w="3312"/>
            <w:shd w:fill="D9EAF7"/>
          </w:tcPr>
          <w:p>
            <w:r>
              <w:rPr>
                <w:b/>
                <w:sz w:val="18"/>
              </w:rPr>
              <w:t>Orders</w:t>
            </w:r>
          </w:p>
        </w:tc>
        <w:tc>
          <w:tcPr>
            <w:tcW w:type="dxa" w:w="3312"/>
            <w:shd w:fill="D9EAF7"/>
          </w:tcPr>
          <w:p>
            <w:r>
              <w:rPr>
                <w:b/>
                <w:sz w:val="18"/>
              </w:rPr>
              <w:t>Conversion from previous stage</w:t>
            </w:r>
          </w:p>
        </w:tc>
      </w:tr>
      <w:tr>
        <w:tc>
          <w:tcPr>
            <w:tcW w:type="dxa" w:w="3312"/>
            <w:vAlign w:val="center"/>
          </w:tcPr>
          <w:p>
            <w:r>
              <w:rPr>
                <w:sz w:val="18"/>
              </w:rPr>
              <w:t>Orders placed</w:t>
            </w:r>
          </w:p>
        </w:tc>
        <w:tc>
          <w:tcPr>
            <w:tcW w:type="dxa" w:w="3312"/>
            <w:vAlign w:val="center"/>
          </w:tcPr>
          <w:p>
            <w:r>
              <w:rPr>
                <w:sz w:val="18"/>
              </w:rPr>
              <w:t>99,441</w:t>
            </w:r>
          </w:p>
        </w:tc>
        <w:tc>
          <w:tcPr>
            <w:tcW w:type="dxa" w:w="3312"/>
            <w:vAlign w:val="center"/>
          </w:tcPr>
          <w:p>
            <w:r>
              <w:rPr>
                <w:sz w:val="18"/>
              </w:rPr>
              <w:t>100.00%</w:t>
            </w:r>
          </w:p>
        </w:tc>
      </w:tr>
      <w:tr>
        <w:tc>
          <w:tcPr>
            <w:tcW w:type="dxa" w:w="3312"/>
            <w:vAlign w:val="center"/>
          </w:tcPr>
          <w:p>
            <w:r>
              <w:rPr>
                <w:sz w:val="18"/>
              </w:rPr>
              <w:t>Approved</w:t>
            </w:r>
          </w:p>
        </w:tc>
        <w:tc>
          <w:tcPr>
            <w:tcW w:type="dxa" w:w="3312"/>
            <w:vAlign w:val="center"/>
          </w:tcPr>
          <w:p>
            <w:r>
              <w:rPr>
                <w:sz w:val="18"/>
              </w:rPr>
              <w:t>99,281</w:t>
            </w:r>
          </w:p>
        </w:tc>
        <w:tc>
          <w:tcPr>
            <w:tcW w:type="dxa" w:w="3312"/>
            <w:vAlign w:val="center"/>
          </w:tcPr>
          <w:p>
            <w:r>
              <w:rPr>
                <w:sz w:val="18"/>
              </w:rPr>
              <w:t>99.84%</w:t>
            </w:r>
          </w:p>
        </w:tc>
      </w:tr>
      <w:tr>
        <w:tc>
          <w:tcPr>
            <w:tcW w:type="dxa" w:w="3312"/>
            <w:vAlign w:val="center"/>
          </w:tcPr>
          <w:p>
            <w:r>
              <w:rPr>
                <w:sz w:val="18"/>
              </w:rPr>
              <w:t>Shipped to carrier</w:t>
            </w:r>
          </w:p>
        </w:tc>
        <w:tc>
          <w:tcPr>
            <w:tcW w:type="dxa" w:w="3312"/>
            <w:vAlign w:val="center"/>
          </w:tcPr>
          <w:p>
            <w:r>
              <w:rPr>
                <w:sz w:val="18"/>
              </w:rPr>
              <w:t>97,658</w:t>
            </w:r>
          </w:p>
        </w:tc>
        <w:tc>
          <w:tcPr>
            <w:tcW w:type="dxa" w:w="3312"/>
            <w:vAlign w:val="center"/>
          </w:tcPr>
          <w:p>
            <w:r>
              <w:rPr>
                <w:sz w:val="18"/>
              </w:rPr>
              <w:t>98.36%</w:t>
            </w:r>
          </w:p>
        </w:tc>
      </w:tr>
      <w:tr>
        <w:tc>
          <w:tcPr>
            <w:tcW w:type="dxa" w:w="3312"/>
            <w:vAlign w:val="center"/>
          </w:tcPr>
          <w:p>
            <w:r>
              <w:rPr>
                <w:sz w:val="18"/>
              </w:rPr>
              <w:t>Delivered</w:t>
            </w:r>
          </w:p>
        </w:tc>
        <w:tc>
          <w:tcPr>
            <w:tcW w:type="dxa" w:w="3312"/>
            <w:vAlign w:val="center"/>
          </w:tcPr>
          <w:p>
            <w:r>
              <w:rPr>
                <w:sz w:val="18"/>
              </w:rPr>
              <w:t>96,476</w:t>
            </w:r>
          </w:p>
        </w:tc>
        <w:tc>
          <w:tcPr>
            <w:tcW w:type="dxa" w:w="3312"/>
            <w:vAlign w:val="center"/>
          </w:tcPr>
          <w:p>
            <w:r>
              <w:rPr>
                <w:sz w:val="18"/>
              </w:rPr>
              <w:t>98.79%</w:t>
            </w:r>
          </w:p>
        </w:tc>
      </w:tr>
      <w:tr>
        <w:tc>
          <w:tcPr>
            <w:tcW w:type="dxa" w:w="3312"/>
            <w:vAlign w:val="center"/>
          </w:tcPr>
          <w:p>
            <w:r>
              <w:rPr>
                <w:sz w:val="18"/>
              </w:rPr>
              <w:t>Reviewed</w:t>
            </w:r>
          </w:p>
        </w:tc>
        <w:tc>
          <w:tcPr>
            <w:tcW w:type="dxa" w:w="3312"/>
            <w:vAlign w:val="center"/>
          </w:tcPr>
          <w:p>
            <w:r>
              <w:rPr>
                <w:sz w:val="18"/>
              </w:rPr>
              <w:t>95,832</w:t>
            </w:r>
          </w:p>
        </w:tc>
        <w:tc>
          <w:tcPr>
            <w:tcW w:type="dxa" w:w="3312"/>
            <w:vAlign w:val="center"/>
          </w:tcPr>
          <w:p>
            <w:r>
              <w:rPr>
                <w:sz w:val="18"/>
              </w:rPr>
              <w:t>99.33%</w:t>
            </w:r>
          </w:p>
        </w:tc>
      </w:tr>
    </w:tbl>
    <w:p/>
    <w:tbl>
      <w:tblPr>
        <w:tblStyle w:val="TableGrid"/>
        <w:tblW w:type="auto" w:w="0"/>
        <w:tblLook w:firstColumn="1" w:firstRow="1" w:lastColumn="0" w:lastRow="0" w:noHBand="0" w:noVBand="1" w:val="04A0"/>
      </w:tblPr>
      <w:tblGrid>
        <w:gridCol w:w="9936"/>
      </w:tblGrid>
      <w:tr>
        <w:tc>
          <w:tcPr>
            <w:tcW w:type="dxa" w:w="9936"/>
            <w:shd w:fill="EEF5FB"/>
          </w:tcPr>
          <w:p>
            <w:r>
              <w:rPr>
                <w:b/>
                <w:sz w:val="22"/>
              </w:rPr>
              <w:t>Funnel interpretation</w:t>
              <w:br/>
            </w:r>
            <w:r>
              <w:t>The order lifecycle is operationally strong. Approval is nearly universal and delivery completion is high. The apparent approval-to-shipment gap should not be interpreted as pure customer conversion loss because status analysis shows a mixture of unavailable, canceled, invoiced, and processing orders.</w:t>
            </w:r>
          </w:p>
        </w:tc>
      </w:tr>
    </w:tbl>
    <w:p/>
    <w:p>
      <w:pPr>
        <w:pStyle w:val="Heading1"/>
      </w:pPr>
      <w:r>
        <w:t>3. Fulfillment and Operational Performance</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18"/>
              </w:rPr>
              <w:t>Metric</w:t>
            </w:r>
          </w:p>
        </w:tc>
        <w:tc>
          <w:tcPr>
            <w:tcW w:type="dxa" w:w="4968"/>
            <w:shd w:fill="D9EAF7"/>
          </w:tcPr>
          <w:p>
            <w:r>
              <w:rPr>
                <w:b/>
                <w:sz w:val="18"/>
              </w:rPr>
              <w:t>Result</w:t>
            </w:r>
          </w:p>
        </w:tc>
      </w:tr>
      <w:tr>
        <w:tc>
          <w:tcPr>
            <w:tcW w:type="dxa" w:w="4968"/>
            <w:vAlign w:val="center"/>
          </w:tcPr>
          <w:p>
            <w:r>
              <w:rPr>
                <w:sz w:val="18"/>
              </w:rPr>
              <w:t>Purchase → Approval</w:t>
            </w:r>
          </w:p>
        </w:tc>
        <w:tc>
          <w:tcPr>
            <w:tcW w:type="dxa" w:w="4968"/>
            <w:vAlign w:val="center"/>
          </w:tcPr>
          <w:p>
            <w:r>
              <w:rPr>
                <w:sz w:val="18"/>
              </w:rPr>
              <w:t>10.28 hours</w:t>
            </w:r>
          </w:p>
        </w:tc>
      </w:tr>
      <w:tr>
        <w:tc>
          <w:tcPr>
            <w:tcW w:type="dxa" w:w="4968"/>
            <w:vAlign w:val="center"/>
          </w:tcPr>
          <w:p>
            <w:r>
              <w:rPr>
                <w:sz w:val="18"/>
              </w:rPr>
              <w:t>Approval → Shipment</w:t>
            </w:r>
          </w:p>
        </w:tc>
        <w:tc>
          <w:tcPr>
            <w:tcW w:type="dxa" w:w="4968"/>
            <w:vAlign w:val="center"/>
          </w:tcPr>
          <w:p>
            <w:r>
              <w:rPr>
                <w:sz w:val="18"/>
              </w:rPr>
              <w:t>67.18 hours</w:t>
            </w:r>
          </w:p>
        </w:tc>
      </w:tr>
      <w:tr>
        <w:tc>
          <w:tcPr>
            <w:tcW w:type="dxa" w:w="4968"/>
            <w:vAlign w:val="center"/>
          </w:tcPr>
          <w:p>
            <w:r>
              <w:rPr>
                <w:sz w:val="18"/>
              </w:rPr>
              <w:t>Shipment → Delivery</w:t>
            </w:r>
          </w:p>
        </w:tc>
        <w:tc>
          <w:tcPr>
            <w:tcW w:type="dxa" w:w="4968"/>
            <w:vAlign w:val="center"/>
          </w:tcPr>
          <w:p>
            <w:r>
              <w:rPr>
                <w:sz w:val="18"/>
              </w:rPr>
              <w:t>223.94 hours</w:t>
            </w:r>
          </w:p>
        </w:tc>
      </w:tr>
      <w:tr>
        <w:tc>
          <w:tcPr>
            <w:tcW w:type="dxa" w:w="4968"/>
            <w:vAlign w:val="center"/>
          </w:tcPr>
          <w:p>
            <w:r>
              <w:rPr>
                <w:sz w:val="18"/>
              </w:rPr>
              <w:t>Approx. total measured transitions</w:t>
            </w:r>
          </w:p>
        </w:tc>
        <w:tc>
          <w:tcPr>
            <w:tcW w:type="dxa" w:w="4968"/>
            <w:vAlign w:val="center"/>
          </w:tcPr>
          <w:p>
            <w:r>
              <w:rPr>
                <w:sz w:val="18"/>
              </w:rPr>
              <w:t>301.40 hours (~12.6 days)</w:t>
            </w:r>
          </w:p>
        </w:tc>
      </w:tr>
      <w:tr>
        <w:tc>
          <w:tcPr>
            <w:tcW w:type="dxa" w:w="4968"/>
            <w:vAlign w:val="center"/>
          </w:tcPr>
          <w:p>
            <w:r>
              <w:rPr>
                <w:sz w:val="18"/>
              </w:rPr>
              <w:t>On-time delivery rate</w:t>
            </w:r>
          </w:p>
        </w:tc>
        <w:tc>
          <w:tcPr>
            <w:tcW w:type="dxa" w:w="4968"/>
            <w:vAlign w:val="center"/>
          </w:tcPr>
          <w:p>
            <w:r>
              <w:rPr>
                <w:sz w:val="18"/>
              </w:rPr>
              <w:t>91.89%</w:t>
            </w:r>
          </w:p>
        </w:tc>
      </w:tr>
      <w:tr>
        <w:tc>
          <w:tcPr>
            <w:tcW w:type="dxa" w:w="4968"/>
            <w:vAlign w:val="center"/>
          </w:tcPr>
          <w:p>
            <w:r>
              <w:rPr>
                <w:sz w:val="18"/>
              </w:rPr>
              <w:t>Late delivery rate</w:t>
            </w:r>
          </w:p>
        </w:tc>
        <w:tc>
          <w:tcPr>
            <w:tcW w:type="dxa" w:w="4968"/>
            <w:vAlign w:val="center"/>
          </w:tcPr>
          <w:p>
            <w:r>
              <w:rPr>
                <w:sz w:val="18"/>
              </w:rPr>
              <w:t>8.11%</w:t>
            </w:r>
          </w:p>
        </w:tc>
      </w:tr>
      <w:tr>
        <w:tc>
          <w:tcPr>
            <w:tcW w:type="dxa" w:w="4968"/>
            <w:vAlign w:val="center"/>
          </w:tcPr>
          <w:p>
            <w:r>
              <w:rPr>
                <w:sz w:val="18"/>
              </w:rPr>
              <w:t>Average delay among late orders</w:t>
            </w:r>
          </w:p>
        </w:tc>
        <w:tc>
          <w:tcPr>
            <w:tcW w:type="dxa" w:w="4968"/>
            <w:vAlign w:val="center"/>
          </w:tcPr>
          <w:p>
            <w:r>
              <w:rPr>
                <w:sz w:val="18"/>
              </w:rPr>
              <w:t>9.55 days</w:t>
            </w:r>
          </w:p>
        </w:tc>
      </w:tr>
      <w:tr>
        <w:tc>
          <w:tcPr>
            <w:tcW w:type="dxa" w:w="4968"/>
            <w:vAlign w:val="center"/>
          </w:tcPr>
          <w:p>
            <w:r>
              <w:rPr>
                <w:sz w:val="18"/>
              </w:rPr>
              <w:t>Maximum observed delay</w:t>
            </w:r>
          </w:p>
        </w:tc>
        <w:tc>
          <w:tcPr>
            <w:tcW w:type="dxa" w:w="4968"/>
            <w:vAlign w:val="center"/>
          </w:tcPr>
          <w:p>
            <w:r>
              <w:rPr>
                <w:sz w:val="18"/>
              </w:rPr>
              <w:t>188.98 days (extreme outlier)</w:t>
            </w:r>
          </w:p>
        </w:tc>
      </w:tr>
    </w:tbl>
    <w:p/>
    <w:p>
      <w:r>
        <w:t>Orders lacking a carrier-shipment timestamp were primarily associated with unavailable (609), canceled (409), invoiced (314), and processing (301) statuses, plus a very small number of timestamp/status inconsistencies.</w:t>
      </w:r>
    </w:p>
    <w:tbl>
      <w:tblPr>
        <w:tblStyle w:val="TableGrid"/>
        <w:tblW w:type="auto" w:w="0"/>
        <w:tblLook w:firstColumn="1" w:firstRow="1" w:lastColumn="0" w:lastRow="0" w:noHBand="0" w:noVBand="1" w:val="04A0"/>
      </w:tblPr>
      <w:tblGrid>
        <w:gridCol w:w="9936"/>
      </w:tblGrid>
      <w:tr>
        <w:tc>
          <w:tcPr>
            <w:tcW w:type="dxa" w:w="9936"/>
            <w:shd w:fill="EEF5FB"/>
          </w:tcPr>
          <w:p>
            <w:r>
              <w:rPr>
                <w:b/>
                <w:sz w:val="22"/>
              </w:rPr>
              <w:t>Key operational insight</w:t>
              <w:br/>
            </w:r>
            <w:r>
              <w:t>The largest time burden is shipment-to-customer delivery, averaging 223.94 hours. The largest apparent stage gap by count occurs around approval-to-shipment, but these represent different operational questions: volume/status versus elapsed time.</w:t>
            </w:r>
          </w:p>
        </w:tc>
      </w:tr>
    </w:tbl>
    <w:p/>
    <w:p>
      <w:pPr>
        <w:pStyle w:val="Heading1"/>
      </w:pPr>
      <w:r>
        <w:t>4. Customer Satisfaction</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18"/>
              </w:rPr>
              <w:t>Review metric</w:t>
            </w:r>
          </w:p>
        </w:tc>
        <w:tc>
          <w:tcPr>
            <w:tcW w:type="dxa" w:w="4968"/>
            <w:shd w:fill="D9EAF7"/>
          </w:tcPr>
          <w:p>
            <w:r>
              <w:rPr>
                <w:b/>
                <w:sz w:val="18"/>
              </w:rPr>
              <w:t>Result</w:t>
            </w:r>
          </w:p>
        </w:tc>
      </w:tr>
      <w:tr>
        <w:tc>
          <w:tcPr>
            <w:tcW w:type="dxa" w:w="4968"/>
            <w:vAlign w:val="center"/>
          </w:tcPr>
          <w:p>
            <w:r>
              <w:rPr>
                <w:sz w:val="18"/>
              </w:rPr>
              <w:t>Average review score</w:t>
            </w:r>
          </w:p>
        </w:tc>
        <w:tc>
          <w:tcPr>
            <w:tcW w:type="dxa" w:w="4968"/>
            <w:vAlign w:val="center"/>
          </w:tcPr>
          <w:p>
            <w:r>
              <w:rPr>
                <w:sz w:val="18"/>
              </w:rPr>
              <w:t>4.09 / 5</w:t>
            </w:r>
          </w:p>
        </w:tc>
      </w:tr>
      <w:tr>
        <w:tc>
          <w:tcPr>
            <w:tcW w:type="dxa" w:w="4968"/>
            <w:vAlign w:val="center"/>
          </w:tcPr>
          <w:p>
            <w:r>
              <w:rPr>
                <w:sz w:val="18"/>
              </w:rPr>
              <w:t>5-star reviews</w:t>
            </w:r>
          </w:p>
        </w:tc>
        <w:tc>
          <w:tcPr>
            <w:tcW w:type="dxa" w:w="4968"/>
            <w:vAlign w:val="center"/>
          </w:tcPr>
          <w:p>
            <w:r>
              <w:rPr>
                <w:sz w:val="18"/>
              </w:rPr>
              <w:t>59.54%</w:t>
            </w:r>
          </w:p>
        </w:tc>
      </w:tr>
      <w:tr>
        <w:tc>
          <w:tcPr>
            <w:tcW w:type="dxa" w:w="4968"/>
            <w:vAlign w:val="center"/>
          </w:tcPr>
          <w:p>
            <w:r>
              <w:rPr>
                <w:sz w:val="18"/>
              </w:rPr>
              <w:t>4-star reviews</w:t>
            </w:r>
          </w:p>
        </w:tc>
        <w:tc>
          <w:tcPr>
            <w:tcW w:type="dxa" w:w="4968"/>
            <w:vAlign w:val="center"/>
          </w:tcPr>
          <w:p>
            <w:r>
              <w:rPr>
                <w:sz w:val="18"/>
              </w:rPr>
              <w:t>19.93%</w:t>
            </w:r>
          </w:p>
        </w:tc>
      </w:tr>
      <w:tr>
        <w:tc>
          <w:tcPr>
            <w:tcW w:type="dxa" w:w="4968"/>
            <w:vAlign w:val="center"/>
          </w:tcPr>
          <w:p>
            <w:r>
              <w:rPr>
                <w:sz w:val="18"/>
              </w:rPr>
              <w:t>4–5 star reviews</w:t>
            </w:r>
          </w:p>
        </w:tc>
        <w:tc>
          <w:tcPr>
            <w:tcW w:type="dxa" w:w="4968"/>
            <w:vAlign w:val="center"/>
          </w:tcPr>
          <w:p>
            <w:r>
              <w:rPr>
                <w:sz w:val="18"/>
              </w:rPr>
              <w:t>79.47%</w:t>
            </w:r>
          </w:p>
        </w:tc>
      </w:tr>
      <w:tr>
        <w:tc>
          <w:tcPr>
            <w:tcW w:type="dxa" w:w="4968"/>
            <w:vAlign w:val="center"/>
          </w:tcPr>
          <w:p>
            <w:r>
              <w:rPr>
                <w:sz w:val="18"/>
              </w:rPr>
              <w:t>3-star reviews</w:t>
            </w:r>
          </w:p>
        </w:tc>
        <w:tc>
          <w:tcPr>
            <w:tcW w:type="dxa" w:w="4968"/>
            <w:vAlign w:val="center"/>
          </w:tcPr>
          <w:p>
            <w:r>
              <w:rPr>
                <w:sz w:val="18"/>
              </w:rPr>
              <w:t>8.52%</w:t>
            </w:r>
          </w:p>
        </w:tc>
      </w:tr>
      <w:tr>
        <w:tc>
          <w:tcPr>
            <w:tcW w:type="dxa" w:w="4968"/>
            <w:vAlign w:val="center"/>
          </w:tcPr>
          <w:p>
            <w:r>
              <w:rPr>
                <w:sz w:val="18"/>
              </w:rPr>
              <w:t>1–2 star reviews</w:t>
            </w:r>
          </w:p>
        </w:tc>
        <w:tc>
          <w:tcPr>
            <w:tcW w:type="dxa" w:w="4968"/>
            <w:vAlign w:val="center"/>
          </w:tcPr>
          <w:p>
            <w:r>
              <w:rPr>
                <w:sz w:val="18"/>
              </w:rPr>
              <w:t>15.18%</w:t>
            </w:r>
          </w:p>
        </w:tc>
      </w:tr>
      <w:tr>
        <w:tc>
          <w:tcPr>
            <w:tcW w:type="dxa" w:w="4968"/>
            <w:vAlign w:val="center"/>
          </w:tcPr>
          <w:p>
            <w:r>
              <w:rPr>
                <w:sz w:val="18"/>
              </w:rPr>
              <w:t>1-star reviews</w:t>
            </w:r>
          </w:p>
        </w:tc>
        <w:tc>
          <w:tcPr>
            <w:tcW w:type="dxa" w:w="4968"/>
            <w:vAlign w:val="center"/>
          </w:tcPr>
          <w:p>
            <w:r>
              <w:rPr>
                <w:sz w:val="18"/>
              </w:rPr>
              <w:t>11.89%</w:t>
            </w:r>
          </w:p>
        </w:tc>
      </w:tr>
      <w:tr>
        <w:tc>
          <w:tcPr>
            <w:tcW w:type="dxa" w:w="4968"/>
            <w:vAlign w:val="center"/>
          </w:tcPr>
          <w:p>
            <w:r>
              <w:rPr>
                <w:sz w:val="18"/>
              </w:rPr>
              <w:t>Delivered orders with a review</w:t>
            </w:r>
          </w:p>
        </w:tc>
        <w:tc>
          <w:tcPr>
            <w:tcW w:type="dxa" w:w="4968"/>
            <w:vAlign w:val="center"/>
          </w:tcPr>
          <w:p>
            <w:r>
              <w:rPr>
                <w:sz w:val="18"/>
              </w:rPr>
              <w:t>99.33%</w:t>
            </w:r>
          </w:p>
        </w:tc>
      </w:tr>
    </w:tbl>
    <w:p/>
    <w:p>
      <w:r>
        <w:t>Customer satisfaction is strong overall, but the 1-star segment is material enough to warrant investigation. Review participation is extremely high among delivered orders, making reviews a useful post-purchase outcome measure.</w:t>
      </w:r>
    </w:p>
    <w:p>
      <w:pPr>
        <w:pStyle w:val="Heading1"/>
      </w:pPr>
      <w:r>
        <w:t>5. Delivery Reliability and Customer Satisfaction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r>
              <w:rPr>
                <w:b/>
                <w:sz w:val="18"/>
              </w:rPr>
              <w:t>Delivery performance</w:t>
            </w:r>
          </w:p>
        </w:tc>
        <w:tc>
          <w:tcPr>
            <w:tcW w:type="dxa" w:w="2484"/>
            <w:shd w:fill="D9EAF7"/>
          </w:tcPr>
          <w:p>
            <w:r>
              <w:rPr>
                <w:b/>
                <w:sz w:val="18"/>
              </w:rPr>
              <w:t>Reviewed orders</w:t>
            </w:r>
          </w:p>
        </w:tc>
        <w:tc>
          <w:tcPr>
            <w:tcW w:type="dxa" w:w="2484"/>
            <w:shd w:fill="D9EAF7"/>
          </w:tcPr>
          <w:p>
            <w:r>
              <w:rPr>
                <w:b/>
                <w:sz w:val="18"/>
              </w:rPr>
              <w:t>Average review</w:t>
            </w:r>
          </w:p>
        </w:tc>
        <w:tc>
          <w:tcPr>
            <w:tcW w:type="dxa" w:w="2484"/>
            <w:shd w:fill="D9EAF7"/>
          </w:tcPr>
          <w:p>
            <w:r>
              <w:rPr>
                <w:b/>
                <w:sz w:val="18"/>
              </w:rPr>
              <w:t>1-star rate</w:t>
            </w:r>
          </w:p>
        </w:tc>
      </w:tr>
      <w:tr>
        <w:tc>
          <w:tcPr>
            <w:tcW w:type="dxa" w:w="2484"/>
            <w:vAlign w:val="center"/>
          </w:tcPr>
          <w:p>
            <w:r>
              <w:rPr>
                <w:sz w:val="18"/>
              </w:rPr>
              <w:t>On Time</w:t>
            </w:r>
          </w:p>
        </w:tc>
        <w:tc>
          <w:tcPr>
            <w:tcW w:type="dxa" w:w="2484"/>
            <w:vAlign w:val="center"/>
          </w:tcPr>
          <w:p>
            <w:r>
              <w:rPr>
                <w:sz w:val="18"/>
              </w:rPr>
              <w:t>88,168</w:t>
            </w:r>
          </w:p>
        </w:tc>
        <w:tc>
          <w:tcPr>
            <w:tcW w:type="dxa" w:w="2484"/>
            <w:vAlign w:val="center"/>
          </w:tcPr>
          <w:p>
            <w:r>
              <w:rPr>
                <w:sz w:val="18"/>
              </w:rPr>
              <w:t>4.29 / 5</w:t>
            </w:r>
          </w:p>
        </w:tc>
        <w:tc>
          <w:tcPr>
            <w:tcW w:type="dxa" w:w="2484"/>
            <w:vAlign w:val="center"/>
          </w:tcPr>
          <w:p>
            <w:r>
              <w:rPr>
                <w:sz w:val="18"/>
              </w:rPr>
              <w:t>6.62%</w:t>
            </w:r>
          </w:p>
        </w:tc>
      </w:tr>
      <w:tr>
        <w:tc>
          <w:tcPr>
            <w:tcW w:type="dxa" w:w="2484"/>
            <w:vAlign w:val="center"/>
          </w:tcPr>
          <w:p>
            <w:r>
              <w:rPr>
                <w:sz w:val="18"/>
              </w:rPr>
              <w:t>Late</w:t>
            </w:r>
          </w:p>
        </w:tc>
        <w:tc>
          <w:tcPr>
            <w:tcW w:type="dxa" w:w="2484"/>
            <w:vAlign w:val="center"/>
          </w:tcPr>
          <w:p>
            <w:r>
              <w:rPr>
                <w:sz w:val="18"/>
              </w:rPr>
              <w:t>7,662</w:t>
            </w:r>
          </w:p>
        </w:tc>
        <w:tc>
          <w:tcPr>
            <w:tcW w:type="dxa" w:w="2484"/>
            <w:vAlign w:val="center"/>
          </w:tcPr>
          <w:p>
            <w:r>
              <w:rPr>
                <w:sz w:val="18"/>
              </w:rPr>
              <w:t>2.57 / 5</w:t>
            </w:r>
          </w:p>
        </w:tc>
        <w:tc>
          <w:tcPr>
            <w:tcW w:type="dxa" w:w="2484"/>
            <w:vAlign w:val="center"/>
          </w:tcPr>
          <w:p>
            <w:r>
              <w:rPr>
                <w:sz w:val="18"/>
              </w:rPr>
              <w:t>46.24%</w:t>
            </w:r>
          </w:p>
        </w:tc>
      </w:tr>
    </w:tbl>
    <w:p/>
    <w:tbl>
      <w:tblPr>
        <w:tblStyle w:val="TableGrid"/>
        <w:tblW w:type="auto" w:w="0"/>
        <w:tblLook w:firstColumn="1" w:firstRow="1" w:lastColumn="0" w:lastRow="0" w:noHBand="0" w:noVBand="1" w:val="04A0"/>
      </w:tblPr>
      <w:tblGrid>
        <w:gridCol w:w="9936"/>
      </w:tblGrid>
      <w:tr>
        <w:tc>
          <w:tcPr>
            <w:tcW w:type="dxa" w:w="9936"/>
            <w:shd w:fill="EEF5FB"/>
          </w:tcPr>
          <w:p>
            <w:r>
              <w:rPr>
                <w:b/>
                <w:sz w:val="22"/>
              </w:rPr>
              <w:t>Headline insight</w:t>
              <w:br/>
            </w:r>
            <w:r>
              <w:t>Late orders are strongly associated with customer dissatisfaction. Their average review score is 1.72 points lower than on-time orders, and their 1-star review rate is approximately 7× higher (46.24% versus 6.62%).</w:t>
            </w:r>
          </w:p>
        </w:tc>
      </w:tr>
    </w:tbl>
    <w:p/>
    <w:p>
      <w:r>
        <w:t>This is an association, not proof of causation. The dataset is observational, so the appropriate analyst wording is that delivery reliability is strongly associated with customer satisfaction.</w:t>
      </w:r>
    </w:p>
    <w:p>
      <w:pPr>
        <w:pStyle w:val="Heading1"/>
      </w:pPr>
      <w:r>
        <w:t>6. Customer Retention and Repeat Purchasing</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18"/>
              </w:rPr>
              <w:t>Customer metric</w:t>
            </w:r>
          </w:p>
        </w:tc>
        <w:tc>
          <w:tcPr>
            <w:tcW w:type="dxa" w:w="4968"/>
            <w:shd w:fill="D9EAF7"/>
          </w:tcPr>
          <w:p>
            <w:r>
              <w:rPr>
                <w:b/>
                <w:sz w:val="18"/>
              </w:rPr>
              <w:t>Result</w:t>
            </w:r>
          </w:p>
        </w:tc>
      </w:tr>
      <w:tr>
        <w:tc>
          <w:tcPr>
            <w:tcW w:type="dxa" w:w="4968"/>
            <w:vAlign w:val="center"/>
          </w:tcPr>
          <w:p>
            <w:r>
              <w:rPr>
                <w:sz w:val="18"/>
              </w:rPr>
              <w:t>Unique customers</w:t>
            </w:r>
          </w:p>
        </w:tc>
        <w:tc>
          <w:tcPr>
            <w:tcW w:type="dxa" w:w="4968"/>
            <w:vAlign w:val="center"/>
          </w:tcPr>
          <w:p>
            <w:r>
              <w:rPr>
                <w:sz w:val="18"/>
              </w:rPr>
              <w:t>96,096</w:t>
            </w:r>
          </w:p>
        </w:tc>
      </w:tr>
      <w:tr>
        <w:tc>
          <w:tcPr>
            <w:tcW w:type="dxa" w:w="4968"/>
            <w:vAlign w:val="center"/>
          </w:tcPr>
          <w:p>
            <w:r>
              <w:rPr>
                <w:sz w:val="18"/>
              </w:rPr>
              <w:t>One-time customers</w:t>
            </w:r>
          </w:p>
        </w:tc>
        <w:tc>
          <w:tcPr>
            <w:tcW w:type="dxa" w:w="4968"/>
            <w:vAlign w:val="center"/>
          </w:tcPr>
          <w:p>
            <w:r>
              <w:rPr>
                <w:sz w:val="18"/>
              </w:rPr>
              <w:t>93,099</w:t>
            </w:r>
          </w:p>
        </w:tc>
      </w:tr>
      <w:tr>
        <w:tc>
          <w:tcPr>
            <w:tcW w:type="dxa" w:w="4968"/>
            <w:vAlign w:val="center"/>
          </w:tcPr>
          <w:p>
            <w:r>
              <w:rPr>
                <w:sz w:val="18"/>
              </w:rPr>
              <w:t>Repeat customers</w:t>
            </w:r>
          </w:p>
        </w:tc>
        <w:tc>
          <w:tcPr>
            <w:tcW w:type="dxa" w:w="4968"/>
            <w:vAlign w:val="center"/>
          </w:tcPr>
          <w:p>
            <w:r>
              <w:rPr>
                <w:sz w:val="18"/>
              </w:rPr>
              <w:t>2,997</w:t>
            </w:r>
          </w:p>
        </w:tc>
      </w:tr>
      <w:tr>
        <w:tc>
          <w:tcPr>
            <w:tcW w:type="dxa" w:w="4968"/>
            <w:vAlign w:val="center"/>
          </w:tcPr>
          <w:p>
            <w:r>
              <w:rPr>
                <w:sz w:val="18"/>
              </w:rPr>
              <w:t>Repeat customer rate</w:t>
            </w:r>
          </w:p>
        </w:tc>
        <w:tc>
          <w:tcPr>
            <w:tcW w:type="dxa" w:w="4968"/>
            <w:vAlign w:val="center"/>
          </w:tcPr>
          <w:p>
            <w:r>
              <w:rPr>
                <w:sz w:val="18"/>
              </w:rPr>
              <w:t>3.12%</w:t>
            </w:r>
          </w:p>
        </w:tc>
      </w:tr>
      <w:tr>
        <w:tc>
          <w:tcPr>
            <w:tcW w:type="dxa" w:w="4968"/>
            <w:vAlign w:val="center"/>
          </w:tcPr>
          <w:p>
            <w:r>
              <w:rPr>
                <w:sz w:val="18"/>
              </w:rPr>
              <w:t>Orders from one-time customers</w:t>
            </w:r>
          </w:p>
        </w:tc>
        <w:tc>
          <w:tcPr>
            <w:tcW w:type="dxa" w:w="4968"/>
            <w:vAlign w:val="center"/>
          </w:tcPr>
          <w:p>
            <w:r>
              <w:rPr>
                <w:sz w:val="18"/>
              </w:rPr>
              <w:t>93,099</w:t>
            </w:r>
          </w:p>
        </w:tc>
      </w:tr>
      <w:tr>
        <w:tc>
          <w:tcPr>
            <w:tcW w:type="dxa" w:w="4968"/>
            <w:vAlign w:val="center"/>
          </w:tcPr>
          <w:p>
            <w:r>
              <w:rPr>
                <w:sz w:val="18"/>
              </w:rPr>
              <w:t>Orders from repeat customers</w:t>
            </w:r>
          </w:p>
        </w:tc>
        <w:tc>
          <w:tcPr>
            <w:tcW w:type="dxa" w:w="4968"/>
            <w:vAlign w:val="center"/>
          </w:tcPr>
          <w:p>
            <w:r>
              <w:rPr>
                <w:sz w:val="18"/>
              </w:rPr>
              <w:t>6,342</w:t>
            </w:r>
          </w:p>
        </w:tc>
      </w:tr>
    </w:tbl>
    <w:p/>
    <w:p>
      <w:r>
        <w:t>The strongest strategic concern is retention. Although the marketplace successfully fulfills the vast majority of orders, only 3.12% of unique customers placed more than one order. This suggests a substantial opportunity to convert one-time buyers into repeat customers.</w:t>
      </w:r>
    </w:p>
    <w:tbl>
      <w:tblPr>
        <w:tblStyle w:val="TableGrid"/>
        <w:tblW w:type="auto" w:w="0"/>
        <w:tblLook w:firstColumn="1" w:firstRow="1" w:lastColumn="0" w:lastRow="0" w:noHBand="0" w:noVBand="1" w:val="04A0"/>
      </w:tblPr>
      <w:tblGrid>
        <w:gridCol w:w="9936"/>
      </w:tblGrid>
      <w:tr>
        <w:tc>
          <w:tcPr>
            <w:tcW w:type="dxa" w:w="9936"/>
            <w:shd w:fill="EEF5FB"/>
          </w:tcPr>
          <w:p>
            <w:r>
              <w:rPr>
                <w:b/>
                <w:sz w:val="22"/>
              </w:rPr>
              <w:t>Strategic implication</w:t>
              <w:br/>
            </w:r>
            <w:r>
              <w:t>The combination of strong fulfillment and weak repeat purchasing suggests that operational success alone does not guarantee loyalty. Customer experience, especially delivery reliability, should be considered alongside acquisition and fulfillment metrics when evaluating long-term marketplace performance.</w:t>
            </w:r>
          </w:p>
        </w:tc>
      </w:tr>
    </w:tbl>
    <w:p/>
    <w:p>
      <w:pPr>
        <w:pStyle w:val="Heading1"/>
      </w:pPr>
      <w:r>
        <w:t>7. Commercial and Basket Context</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18"/>
              </w:rPr>
              <w:t>Metric</w:t>
            </w:r>
          </w:p>
        </w:tc>
        <w:tc>
          <w:tcPr>
            <w:tcW w:type="dxa" w:w="4968"/>
            <w:shd w:fill="D9EAF7"/>
          </w:tcPr>
          <w:p>
            <w:r>
              <w:rPr>
                <w:b/>
                <w:sz w:val="18"/>
              </w:rPr>
              <w:t>Result</w:t>
            </w:r>
          </w:p>
        </w:tc>
      </w:tr>
      <w:tr>
        <w:tc>
          <w:tcPr>
            <w:tcW w:type="dxa" w:w="4968"/>
            <w:vAlign w:val="center"/>
          </w:tcPr>
          <w:p>
            <w:r>
              <w:rPr>
                <w:sz w:val="18"/>
              </w:rPr>
              <w:t>Total product value</w:t>
            </w:r>
          </w:p>
        </w:tc>
        <w:tc>
          <w:tcPr>
            <w:tcW w:type="dxa" w:w="4968"/>
            <w:vAlign w:val="center"/>
          </w:tcPr>
          <w:p>
            <w:r>
              <w:rPr>
                <w:sz w:val="18"/>
              </w:rPr>
              <w:t>13,591,643.70</w:t>
            </w:r>
          </w:p>
        </w:tc>
      </w:tr>
      <w:tr>
        <w:tc>
          <w:tcPr>
            <w:tcW w:type="dxa" w:w="4968"/>
            <w:vAlign w:val="center"/>
          </w:tcPr>
          <w:p>
            <w:r>
              <w:rPr>
                <w:sz w:val="18"/>
              </w:rPr>
              <w:t>Total freight</w:t>
            </w:r>
          </w:p>
        </w:tc>
        <w:tc>
          <w:tcPr>
            <w:tcW w:type="dxa" w:w="4968"/>
            <w:vAlign w:val="center"/>
          </w:tcPr>
          <w:p>
            <w:r>
              <w:rPr>
                <w:sz w:val="18"/>
              </w:rPr>
              <w:t>2,251,909.54</w:t>
            </w:r>
          </w:p>
        </w:tc>
      </w:tr>
      <w:tr>
        <w:tc>
          <w:tcPr>
            <w:tcW w:type="dxa" w:w="4968"/>
            <w:vAlign w:val="center"/>
          </w:tcPr>
          <w:p>
            <w:r>
              <w:rPr>
                <w:sz w:val="18"/>
              </w:rPr>
              <w:t>Total product + freight</w:t>
            </w:r>
          </w:p>
        </w:tc>
        <w:tc>
          <w:tcPr>
            <w:tcW w:type="dxa" w:w="4968"/>
            <w:vAlign w:val="center"/>
          </w:tcPr>
          <w:p>
            <w:r>
              <w:rPr>
                <w:sz w:val="18"/>
              </w:rPr>
              <w:t>15,843,553.24</w:t>
            </w:r>
          </w:p>
        </w:tc>
      </w:tr>
      <w:tr>
        <w:tc>
          <w:tcPr>
            <w:tcW w:type="dxa" w:w="4968"/>
            <w:vAlign w:val="center"/>
          </w:tcPr>
          <w:p>
            <w:r>
              <w:rPr>
                <w:sz w:val="18"/>
              </w:rPr>
              <w:t>Total payment value</w:t>
            </w:r>
          </w:p>
        </w:tc>
        <w:tc>
          <w:tcPr>
            <w:tcW w:type="dxa" w:w="4968"/>
            <w:vAlign w:val="center"/>
          </w:tcPr>
          <w:p>
            <w:r>
              <w:rPr>
                <w:sz w:val="18"/>
              </w:rPr>
              <w:t>16,008,872.12</w:t>
            </w:r>
          </w:p>
        </w:tc>
      </w:tr>
      <w:tr>
        <w:tc>
          <w:tcPr>
            <w:tcW w:type="dxa" w:w="4968"/>
            <w:vAlign w:val="center"/>
          </w:tcPr>
          <w:p>
            <w:r>
              <w:rPr>
                <w:sz w:val="18"/>
              </w:rPr>
              <w:t>Average payment per order</w:t>
            </w:r>
          </w:p>
        </w:tc>
        <w:tc>
          <w:tcPr>
            <w:tcW w:type="dxa" w:w="4968"/>
            <w:vAlign w:val="center"/>
          </w:tcPr>
          <w:p>
            <w:r>
              <w:rPr>
                <w:sz w:val="18"/>
              </w:rPr>
              <w:t>160.99</w:t>
            </w:r>
          </w:p>
        </w:tc>
      </w:tr>
      <w:tr>
        <w:tc>
          <w:tcPr>
            <w:tcW w:type="dxa" w:w="4968"/>
            <w:vAlign w:val="center"/>
          </w:tcPr>
          <w:p>
            <w:r>
              <w:rPr>
                <w:sz w:val="18"/>
              </w:rPr>
              <w:t>Average product + freight per order</w:t>
            </w:r>
          </w:p>
        </w:tc>
        <w:tc>
          <w:tcPr>
            <w:tcW w:type="dxa" w:w="4968"/>
            <w:vAlign w:val="center"/>
          </w:tcPr>
          <w:p>
            <w:r>
              <w:rPr>
                <w:sz w:val="18"/>
              </w:rPr>
              <w:t>159.33</w:t>
            </w:r>
          </w:p>
        </w:tc>
      </w:tr>
      <w:tr>
        <w:tc>
          <w:tcPr>
            <w:tcW w:type="dxa" w:w="4968"/>
            <w:vAlign w:val="center"/>
          </w:tcPr>
          <w:p>
            <w:r>
              <w:rPr>
                <w:sz w:val="18"/>
              </w:rPr>
              <w:t>Average difference</w:t>
            </w:r>
          </w:p>
        </w:tc>
        <w:tc>
          <w:tcPr>
            <w:tcW w:type="dxa" w:w="4968"/>
            <w:vAlign w:val="center"/>
          </w:tcPr>
          <w:p>
            <w:r>
              <w:rPr>
                <w:sz w:val="18"/>
              </w:rPr>
              <w:t>1.66</w:t>
            </w:r>
          </w:p>
        </w:tc>
      </w:tr>
      <w:tr>
        <w:tc>
          <w:tcPr>
            <w:tcW w:type="dxa" w:w="4968"/>
            <w:vAlign w:val="center"/>
          </w:tcPr>
          <w:p>
            <w:r>
              <w:rPr>
                <w:sz w:val="18"/>
              </w:rPr>
              <w:t>Orders with items</w:t>
            </w:r>
          </w:p>
        </w:tc>
        <w:tc>
          <w:tcPr>
            <w:tcW w:type="dxa" w:w="4968"/>
            <w:vAlign w:val="center"/>
          </w:tcPr>
          <w:p>
            <w:r>
              <w:rPr>
                <w:sz w:val="18"/>
              </w:rPr>
              <w:t>98,666</w:t>
            </w:r>
          </w:p>
        </w:tc>
      </w:tr>
      <w:tr>
        <w:tc>
          <w:tcPr>
            <w:tcW w:type="dxa" w:w="4968"/>
            <w:vAlign w:val="center"/>
          </w:tcPr>
          <w:p>
            <w:r>
              <w:rPr>
                <w:sz w:val="18"/>
              </w:rPr>
              <w:t>Total item rows</w:t>
            </w:r>
          </w:p>
        </w:tc>
        <w:tc>
          <w:tcPr>
            <w:tcW w:type="dxa" w:w="4968"/>
            <w:vAlign w:val="center"/>
          </w:tcPr>
          <w:p>
            <w:r>
              <w:rPr>
                <w:sz w:val="18"/>
              </w:rPr>
              <w:t>112,650</w:t>
            </w:r>
          </w:p>
        </w:tc>
      </w:tr>
      <w:tr>
        <w:tc>
          <w:tcPr>
            <w:tcW w:type="dxa" w:w="4968"/>
            <w:vAlign w:val="center"/>
          </w:tcPr>
          <w:p>
            <w:r>
              <w:rPr>
                <w:sz w:val="18"/>
              </w:rPr>
              <w:t>Average item records/order with items</w:t>
            </w:r>
          </w:p>
        </w:tc>
        <w:tc>
          <w:tcPr>
            <w:tcW w:type="dxa" w:w="4968"/>
            <w:vAlign w:val="center"/>
          </w:tcPr>
          <w:p>
            <w:r>
              <w:rPr>
                <w:sz w:val="18"/>
              </w:rPr>
              <w:t>1.14</w:t>
            </w:r>
          </w:p>
        </w:tc>
      </w:tr>
    </w:tbl>
    <w:p/>
    <w:p>
      <w:r>
        <w:t>The marketplace is characterized by small baskets. Payment and item-level values are also closely aligned overall, supporting the use of aggregated payment value as the primary order/customer spend metric.</w:t>
      </w:r>
    </w:p>
    <w:p>
      <w:pPr>
        <w:pStyle w:val="Heading1"/>
      </w:pPr>
      <w:r>
        <w:t>8. Data Quality and Analytical Decisions</w:t>
      </w:r>
    </w:p>
    <w:p>
      <w:pPr>
        <w:pStyle w:val="ListBullet"/>
      </w:pPr>
      <w:r>
        <w:t>One missing payment association was identified and treated as negligible for the overall analysis.</w:t>
      </w:r>
    </w:p>
    <w:p>
      <w:pPr>
        <w:pStyle w:val="ListBullet"/>
      </w:pPr>
      <w:r>
        <w:t>Payment-to-item reconciliation matched for 98.64% of orders. The remaining 1.36% was considered immaterial to the funnel and was not adjusted.</w:t>
      </w:r>
    </w:p>
    <w:p>
      <w:pPr>
        <w:pStyle w:val="ListBullet"/>
      </w:pPr>
      <w:r>
        <w:t>The delivered-order count differs slightly depending on whether delivery status or a non-null delivery timestamp is used. The lifecycle funnel consistently uses the timestamp-based count of 96,476.</w:t>
      </w:r>
    </w:p>
    <w:p>
      <w:pPr>
        <w:pStyle w:val="ListBullet"/>
      </w:pPr>
      <w:r>
        <w:t>A small discrepancy of 43 records appeared between an earlier reviewed-order count and the review-score distribution. It was treated as negligible for overall conclusions.</w:t>
      </w:r>
    </w:p>
    <w:p>
      <w:pPr>
        <w:pStyle w:val="ListBullet"/>
      </w:pPr>
      <w:r>
        <w:t>The dataset does not support a traditional visitor → product view → cart → checkout funnel because browsing/session events are not available.</w:t>
      </w:r>
    </w:p>
    <w:p>
      <w:pPr>
        <w:pStyle w:val="ListBullet"/>
      </w:pPr>
      <w:r>
        <w:t>One-to-many tables such as payments, items, and reviews were treated at the appropriate grain to avoid double counting when joining.</w:t>
      </w:r>
    </w:p>
    <w:p>
      <w:pPr>
        <w:pStyle w:val="Heading1"/>
      </w:pPr>
      <w:r>
        <w:t>9. Business Recommendations</w:t>
      </w:r>
    </w:p>
    <w:p>
      <w:pPr>
        <w:pStyle w:val="Heading2"/>
      </w:pPr>
      <w:r>
        <w:t>Prioritize delivery reliability</w:t>
      </w:r>
    </w:p>
    <w:p>
      <w:r>
        <w:t>Late orders are strongly associated with low ratings and 1-star reviews. Monitor late-delivery rate as a core customer-experience KPI and prioritize the carriers, sellers, regions, and categories with the highest late-delivery exposure.</w:t>
      </w:r>
    </w:p>
    <w:p>
      <w:pPr>
        <w:pStyle w:val="Heading2"/>
      </w:pPr>
      <w:r>
        <w:t>Reduce the shipment-to-delivery cycle</w:t>
      </w:r>
    </w:p>
    <w:p>
      <w:r>
        <w:t>Shipment-to-delivery averages 223.94 hours. Investigate carrier performance, geographic distance, seller dispatch behavior, and logistics bottlenecks.</w:t>
      </w:r>
    </w:p>
    <w:p>
      <w:pPr>
        <w:pStyle w:val="Heading2"/>
      </w:pPr>
      <w:r>
        <w:t>Convert one-time buyers into repeat customers</w:t>
      </w:r>
    </w:p>
    <w:p>
      <w:r>
        <w:t>With only 3.12% repeat customers, retention is the largest strategic opportunity. Use post-purchase engagement, targeted offers, personalized recommendations, and reliable delivery experiences to encourage a second purchase.</w:t>
      </w:r>
    </w:p>
    <w:p>
      <w:pPr>
        <w:pStyle w:val="Heading2"/>
      </w:pPr>
      <w:r>
        <w:t>Monitor dissatisfied customers</w:t>
      </w:r>
    </w:p>
    <w:p>
      <w:r>
        <w:t>The 11.89% 1-star review share is material. Prioritize root-cause analysis of 1-star orders, especially late deliveries.</w:t>
      </w:r>
    </w:p>
    <w:p>
      <w:pPr>
        <w:pStyle w:val="Heading2"/>
      </w:pPr>
      <w:r>
        <w:t>Build operational segmentation</w:t>
      </w:r>
    </w:p>
    <w:p>
      <w:r>
        <w:t>Break delivery and satisfaction KPIs down by customer state, seller, product category, payment type, and other relevant dimensions to identify where interventions will have the greatest impact.</w:t>
      </w:r>
    </w:p>
    <w:p>
      <w:pPr>
        <w:pStyle w:val="Heading2"/>
      </w:pPr>
      <w:r>
        <w:t>Use a balanced KPI framework</w:t>
      </w:r>
    </w:p>
    <w:p>
      <w:r>
        <w:t>Track order completion, delivery timeliness, average review score, 1-star rate, repeat-customer rate, and average customer spend together.</w:t>
      </w:r>
    </w:p>
    <w:p>
      <w:pPr>
        <w:pStyle w:val="Heading1"/>
      </w:pPr>
      <w:r>
        <w:t>10. Final Analyst Narrative</w:t>
      </w:r>
    </w:p>
    <w:p>
      <w:r>
        <w:t>The Olist marketplace shows strong operational execution at the order level: almost all orders are approved, 97.02% reach delivery, and 91.89% arrive on time. Customer review participation is also exceptionally high, and overall satisfaction is positive at 4.09/5.</w:t>
      </w:r>
    </w:p>
    <w:p>
      <w:r>
        <w:t>However, the analysis identifies a clear strategic tension. Despite strong fulfillment, only 3.12% of customers return to place another order. The strongest customer-experience signal discovered is delivery reliability. Late orders average only 2.57/5 compared with 4.29/5 for on-time orders, and nearly half of reviewed late orders receive 1 star.</w:t>
      </w:r>
    </w:p>
    <w:p>
      <w:r>
        <w:t>Therefore, the key opportunity is not simply to process more orders; it is to turn successful transactions into successful long-term customer relationships. Improving delivery reliability and reducing the shipment-to-delivery cycle should be central to a retention strategy, while targeted analysis of dissatisfied and one-time customers can identify additional opportunities for loyalty growth.</w:t>
      </w:r>
    </w:p>
    <w:p>
      <w:pPr>
        <w:pStyle w:val="Heading1"/>
      </w:pPr>
      <w:r>
        <w:t>11. Executive KPI Snapshot</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18"/>
              </w:rPr>
              <w:t>KPI</w:t>
            </w:r>
          </w:p>
        </w:tc>
        <w:tc>
          <w:tcPr>
            <w:tcW w:type="dxa" w:w="4968"/>
            <w:shd w:fill="D9EAF7"/>
          </w:tcPr>
          <w:p>
            <w:r>
              <w:rPr>
                <w:b/>
                <w:sz w:val="18"/>
              </w:rPr>
              <w:t>Value</w:t>
            </w:r>
          </w:p>
        </w:tc>
      </w:tr>
      <w:tr>
        <w:tc>
          <w:tcPr>
            <w:tcW w:type="dxa" w:w="4968"/>
            <w:vAlign w:val="center"/>
          </w:tcPr>
          <w:p>
            <w:r>
              <w:rPr>
                <w:sz w:val="18"/>
              </w:rPr>
              <w:t>Orders</w:t>
            </w:r>
          </w:p>
        </w:tc>
        <w:tc>
          <w:tcPr>
            <w:tcW w:type="dxa" w:w="4968"/>
            <w:vAlign w:val="center"/>
          </w:tcPr>
          <w:p>
            <w:r>
              <w:rPr>
                <w:sz w:val="18"/>
              </w:rPr>
              <w:t>99,441</w:t>
            </w:r>
          </w:p>
        </w:tc>
      </w:tr>
      <w:tr>
        <w:tc>
          <w:tcPr>
            <w:tcW w:type="dxa" w:w="4968"/>
            <w:vAlign w:val="center"/>
          </w:tcPr>
          <w:p>
            <w:r>
              <w:rPr>
                <w:sz w:val="18"/>
              </w:rPr>
              <w:t>Unique customers</w:t>
            </w:r>
          </w:p>
        </w:tc>
        <w:tc>
          <w:tcPr>
            <w:tcW w:type="dxa" w:w="4968"/>
            <w:vAlign w:val="center"/>
          </w:tcPr>
          <w:p>
            <w:r>
              <w:rPr>
                <w:sz w:val="18"/>
              </w:rPr>
              <w:t>96,096</w:t>
            </w:r>
          </w:p>
        </w:tc>
      </w:tr>
      <w:tr>
        <w:tc>
          <w:tcPr>
            <w:tcW w:type="dxa" w:w="4968"/>
            <w:vAlign w:val="center"/>
          </w:tcPr>
          <w:p>
            <w:r>
              <w:rPr>
                <w:sz w:val="18"/>
              </w:rPr>
              <w:t>Order → delivery completion</w:t>
            </w:r>
          </w:p>
        </w:tc>
        <w:tc>
          <w:tcPr>
            <w:tcW w:type="dxa" w:w="4968"/>
            <w:vAlign w:val="center"/>
          </w:tcPr>
          <w:p>
            <w:r>
              <w:rPr>
                <w:sz w:val="18"/>
              </w:rPr>
              <w:t>97.02%</w:t>
            </w:r>
          </w:p>
        </w:tc>
      </w:tr>
      <w:tr>
        <w:tc>
          <w:tcPr>
            <w:tcW w:type="dxa" w:w="4968"/>
            <w:vAlign w:val="center"/>
          </w:tcPr>
          <w:p>
            <w:r>
              <w:rPr>
                <w:sz w:val="18"/>
              </w:rPr>
              <w:t>On-time delivery</w:t>
            </w:r>
          </w:p>
        </w:tc>
        <w:tc>
          <w:tcPr>
            <w:tcW w:type="dxa" w:w="4968"/>
            <w:vAlign w:val="center"/>
          </w:tcPr>
          <w:p>
            <w:r>
              <w:rPr>
                <w:sz w:val="18"/>
              </w:rPr>
              <w:t>91.89%</w:t>
            </w:r>
          </w:p>
        </w:tc>
      </w:tr>
      <w:tr>
        <w:tc>
          <w:tcPr>
            <w:tcW w:type="dxa" w:w="4968"/>
            <w:vAlign w:val="center"/>
          </w:tcPr>
          <w:p>
            <w:r>
              <w:rPr>
                <w:sz w:val="18"/>
              </w:rPr>
              <w:t>Late delivery</w:t>
            </w:r>
          </w:p>
        </w:tc>
        <w:tc>
          <w:tcPr>
            <w:tcW w:type="dxa" w:w="4968"/>
            <w:vAlign w:val="center"/>
          </w:tcPr>
          <w:p>
            <w:r>
              <w:rPr>
                <w:sz w:val="18"/>
              </w:rPr>
              <w:t>8.11%</w:t>
            </w:r>
          </w:p>
        </w:tc>
      </w:tr>
      <w:tr>
        <w:tc>
          <w:tcPr>
            <w:tcW w:type="dxa" w:w="4968"/>
            <w:vAlign w:val="center"/>
          </w:tcPr>
          <w:p>
            <w:r>
              <w:rPr>
                <w:sz w:val="18"/>
              </w:rPr>
              <w:t>Avg. delay among late orders</w:t>
            </w:r>
          </w:p>
        </w:tc>
        <w:tc>
          <w:tcPr>
            <w:tcW w:type="dxa" w:w="4968"/>
            <w:vAlign w:val="center"/>
          </w:tcPr>
          <w:p>
            <w:r>
              <w:rPr>
                <w:sz w:val="18"/>
              </w:rPr>
              <w:t>9.55 days</w:t>
            </w:r>
          </w:p>
        </w:tc>
      </w:tr>
      <w:tr>
        <w:tc>
          <w:tcPr>
            <w:tcW w:type="dxa" w:w="4968"/>
            <w:vAlign w:val="center"/>
          </w:tcPr>
          <w:p>
            <w:r>
              <w:rPr>
                <w:sz w:val="18"/>
              </w:rPr>
              <w:t>Avg. review score</w:t>
            </w:r>
          </w:p>
        </w:tc>
        <w:tc>
          <w:tcPr>
            <w:tcW w:type="dxa" w:w="4968"/>
            <w:vAlign w:val="center"/>
          </w:tcPr>
          <w:p>
            <w:r>
              <w:rPr>
                <w:sz w:val="18"/>
              </w:rPr>
              <w:t>4.09 / 5</w:t>
            </w:r>
          </w:p>
        </w:tc>
      </w:tr>
      <w:tr>
        <w:tc>
          <w:tcPr>
            <w:tcW w:type="dxa" w:w="4968"/>
            <w:vAlign w:val="center"/>
          </w:tcPr>
          <w:p>
            <w:r>
              <w:rPr>
                <w:sz w:val="18"/>
              </w:rPr>
              <w:t>4–5 star share</w:t>
            </w:r>
          </w:p>
        </w:tc>
        <w:tc>
          <w:tcPr>
            <w:tcW w:type="dxa" w:w="4968"/>
            <w:vAlign w:val="center"/>
          </w:tcPr>
          <w:p>
            <w:r>
              <w:rPr>
                <w:sz w:val="18"/>
              </w:rPr>
              <w:t>79.47%</w:t>
            </w:r>
          </w:p>
        </w:tc>
      </w:tr>
      <w:tr>
        <w:tc>
          <w:tcPr>
            <w:tcW w:type="dxa" w:w="4968"/>
            <w:vAlign w:val="center"/>
          </w:tcPr>
          <w:p>
            <w:r>
              <w:rPr>
                <w:sz w:val="18"/>
              </w:rPr>
              <w:t>1-star share</w:t>
            </w:r>
          </w:p>
        </w:tc>
        <w:tc>
          <w:tcPr>
            <w:tcW w:type="dxa" w:w="4968"/>
            <w:vAlign w:val="center"/>
          </w:tcPr>
          <w:p>
            <w:r>
              <w:rPr>
                <w:sz w:val="18"/>
              </w:rPr>
              <w:t>11.89%</w:t>
            </w:r>
          </w:p>
        </w:tc>
      </w:tr>
      <w:tr>
        <w:tc>
          <w:tcPr>
            <w:tcW w:type="dxa" w:w="4968"/>
            <w:vAlign w:val="center"/>
          </w:tcPr>
          <w:p>
            <w:r>
              <w:rPr>
                <w:sz w:val="18"/>
              </w:rPr>
              <w:t>Repeat-customer rate</w:t>
            </w:r>
          </w:p>
        </w:tc>
        <w:tc>
          <w:tcPr>
            <w:tcW w:type="dxa" w:w="4968"/>
            <w:vAlign w:val="center"/>
          </w:tcPr>
          <w:p>
            <w:r>
              <w:rPr>
                <w:sz w:val="18"/>
              </w:rPr>
              <w:t>3.12%</w:t>
            </w:r>
          </w:p>
        </w:tc>
      </w:tr>
      <w:tr>
        <w:tc>
          <w:tcPr>
            <w:tcW w:type="dxa" w:w="4968"/>
            <w:vAlign w:val="center"/>
          </w:tcPr>
          <w:p>
            <w:r>
              <w:rPr>
                <w:sz w:val="18"/>
              </w:rPr>
              <w:t>Average payment/order</w:t>
            </w:r>
          </w:p>
        </w:tc>
        <w:tc>
          <w:tcPr>
            <w:tcW w:type="dxa" w:w="4968"/>
            <w:vAlign w:val="center"/>
          </w:tcPr>
          <w:p>
            <w:r>
              <w:rPr>
                <w:sz w:val="18"/>
              </w:rPr>
              <w:t>160.99</w:t>
            </w:r>
          </w:p>
        </w:tc>
      </w:tr>
    </w:tbl>
    <w:p/>
    <w:p>
      <w:pPr>
        <w:pStyle w:val="Heading1"/>
      </w:pPr>
      <w:r>
        <w:t>12. Methodology Note</w:t>
      </w:r>
    </w:p>
    <w:p>
      <w:r>
        <w:t>Calculations were performed in PostgreSQL using the Olist Brazilian e-commerce dataset. Order-level metrics were kept at order grain where appropriate, customer-level retention used customer_unique_id, and payment/item tables were treated as one-to-many sources requiring aggregation before cross-table comparisons. The analysis is descriptive and diagnostic; it does not claim causal relationships.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Brazilian E-commerce Order Lifecycle Funnel Analysis | Analyst Insight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