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Red Sea Fisheries Sustainability</w:t>
      </w:r>
    </w:p>
    <w:p>
      <w:pPr>
        <w:spacing w:after="80"/>
      </w:pPr>
      <w:r>
        <w:rPr>
          <w:color w:val="444444"/>
          <w:sz w:val="32"/>
          <w:szCs w:val="32"/>
        </w:rPr>
        <w:t xml:space="preserve">Insights Summary</w:t>
      </w:r>
    </w:p>
    <w:p>
      <w:pPr>
        <w:spacing w:after="300"/>
      </w:pPr>
      <w:r>
        <w:rPr>
          <w:i/>
          <w:iCs/>
          <w:color w:val="555555"/>
        </w:rPr>
        <w:t xml:space="preserve">Analysis of Saudi Arabia's Red Sea EEZ reconstructed catch data (1950–2019), sourced from Sea Around Us.</w:t>
      </w:r>
    </w:p>
    <w:p>
      <w:pPr>
        <w:pBdr>
          <w:bottom w:val="single" w:color="CCCCCC" w:sz="6"/>
        </w:pBdr>
        <w:spacing w:after="240"/>
      </w:pPr>
    </w:p>
    <w:p>
      <w:pPr>
        <w:pStyle w:val="Heading2"/>
        <w:spacing w:after="120" w:before="320"/>
      </w:pPr>
      <w:r>
        <w:t xml:space="preserve">1. Total Catch Trend (1950–2019)</w:t>
      </w:r>
    </w:p>
    <w:p>
      <w:pPr>
        <w:spacing w:after="160"/>
      </w:pPr>
      <w:r>
        <w:rPr>
          <w:i/>
          <w:iCs/>
          <w:color w:val="666666"/>
          <w:sz w:val="20"/>
          <w:szCs w:val="20"/>
        </w:rPr>
        <w:t xml:space="preserve">Query: 01_total_catch_trend.sql</w:t>
      </w:r>
    </w:p>
    <w:p>
      <w:pPr>
        <w:spacing w:after="200"/>
      </w:pPr>
      <w:r>
        <w:rPr>
          <w:b/>
          <w:bCs/>
        </w:rPr>
        <w:t xml:space="preserve">Finding: </w:t>
      </w:r>
      <w:r>
        <w:t xml:space="preserve">Total catch grew from 8,889 tonnes in 1950 to a peak of 70,964 tonnes in 2010 — roughly an 8x increase over 60 years. Growth was gradual through the 1950s-70s, jumped sharply in 1980-81, then plateaued through the 1990s-2000s in the 53,000-68,000 tonne range before reaching its historic peak in 2010. Catch then dropped sharply to 40,045 tonnes in 2011 (a 43.5% single-year decline) and has remained remarkably stable between ~39,000-40,500 tonnes every year from 2011 through 2019.</w:t>
      </w:r>
    </w:p>
    <w:p>
      <w:pPr>
        <w:spacing w:after="200"/>
      </w:pPr>
      <w:r>
        <w:rPr>
          <w:b/>
          <w:bCs/>
        </w:rPr>
        <w:t xml:space="preserve">Insight: </w:t>
      </w:r>
      <w:r>
        <w:t xml:space="preserve">The Saudi Red Sea fishery expanded roughly 8-fold from 1950 to its 2010 peak, consistent with the global pattern of post-war fishing effort expansion. However, the abrupt 43.5% drop between 2010 and 2011, followed by an unusually flat plateau through 2019, is atypical of natural stock/catch dynamics and warrants investigation — it may reflect a genuine regulatory or fleet change, or a shift in Sea Around Us's data reconstruction methodology for more recent years. This should be flagged as a caveat rather than presented as a confirmed sustainability signal without further corroboration.</w:t>
      </w:r>
    </w:p>
    <w:p>
      <w:pPr>
        <w:pStyle w:val="Heading2"/>
        <w:spacing w:after="120" w:before="320"/>
      </w:pPr>
      <w:r>
        <w:t xml:space="preserve">2. Peak Catch Year &amp; Decline</w:t>
      </w:r>
    </w:p>
    <w:p>
      <w:pPr>
        <w:spacing w:after="160"/>
      </w:pPr>
      <w:r>
        <w:rPr>
          <w:i/>
          <w:iCs/>
          <w:color w:val="666666"/>
          <w:sz w:val="20"/>
          <w:szCs w:val="20"/>
        </w:rPr>
        <w:t xml:space="preserve">Query: 02_peak_catch_decline.sql</w:t>
      </w:r>
    </w:p>
    <w:p>
      <w:pPr>
        <w:spacing w:after="200"/>
      </w:pPr>
      <w:r>
        <w:rPr>
          <w:b/>
          <w:bCs/>
        </w:rPr>
        <w:t xml:space="preserve">Finding: </w:t>
      </w:r>
      <w:r>
        <w:t xml:space="preserve">Peak catch occurred in 2010 at 70,964 tonnes. By 2019 (latest year in the dataset), catch had fallen to 39,296 tonnes — a 44.63% decline from peak.</w:t>
      </w:r>
    </w:p>
    <w:p>
      <w:pPr>
        <w:spacing w:after="200"/>
      </w:pPr>
      <w:r>
        <w:rPr>
          <w:b/>
          <w:bCs/>
        </w:rPr>
        <w:t xml:space="preserve">Insight: </w:t>
      </w:r>
      <w:r>
        <w:t xml:space="preserve">Nearly half of the fishery's peak output has been lost in less than a decade. This is the single strongest headline number for the project: "Catch has declined 44.6% since its 2010 peak." Paired with the plateau observed in Section 1, this suggests the fishery may have settled into a new, lower equilibrium — which itself raises the question of whether this reflects a genuinely reduced stock, tighter management/quotas, or a change in data reporting after 2010.</w:t>
      </w:r>
    </w:p>
    <w:p>
      <w:pPr>
        <w:pStyle w:val="Heading2"/>
        <w:spacing w:after="120" w:before="320"/>
      </w:pPr>
      <w:r>
        <w:t xml:space="preserve">3. Species Concentration</w:t>
      </w:r>
    </w:p>
    <w:p>
      <w:pPr>
        <w:spacing w:after="160"/>
      </w:pPr>
      <w:r>
        <w:rPr>
          <w:i/>
          <w:iCs/>
          <w:color w:val="666666"/>
          <w:sz w:val="20"/>
          <w:szCs w:val="20"/>
        </w:rPr>
        <w:t xml:space="preserve">Query: 03_species_concentration.sql</w:t>
      </w:r>
    </w:p>
    <w:p>
      <w:pPr>
        <w:spacing w:after="200"/>
      </w:pPr>
      <w:r>
        <w:rPr>
          <w:b/>
          <w:bCs/>
        </w:rPr>
        <w:t xml:space="preserve">Finding (Part A — Top species, all-time): </w:t>
      </w:r>
      <w:r>
        <w:t xml:space="preserve">The largest single category is "Marine fishes not identified" at 618,191 tonnes — over 2.3x larger than the top named species. The leading identified species is Narrow-barred Spanish mackerel (269,387 tonnes), followed by slipmouths/ponyfishes (130,392), Indian mackerel (122,762), emperors (113,121), groupers (66,259), jacks (52,853), cutlassfishes (51,576), pink ear emperor (51,476), and porgies (48,204).</w:t>
      </w:r>
    </w:p>
    <w:p>
      <w:pPr>
        <w:spacing w:after="200"/>
      </w:pPr>
      <w:r>
        <w:rPr>
          <w:b/>
          <w:bCs/>
        </w:rPr>
        <w:t xml:space="preserve">Insight: </w:t>
      </w:r>
      <w:r>
        <w:t xml:space="preserve">A very large share of historical catch was never identified to species/family level. This is a critical data-quality caveat: any species-level sustainability conclusion only covers part of the picture. Among named species, Narrow-barred Spanish mackerel's outsized share is a potential concentration risk, since it's a high-value, high-trophic-level predator — heavy reliance on one predator species is a classic vulnerability flag in fisheries sustainability.</w:t>
      </w:r>
    </w:p>
    <w:p>
      <w:pPr>
        <w:spacing w:after="200"/>
      </w:pPr>
      <w:r>
        <w:rPr>
          <w:b/>
          <w:bCs/>
        </w:rPr>
        <w:t xml:space="preserve">Finding (Part B — Top-5 species share by decade): </w:t>
      </w:r>
      <w:r>
        <w:t xml:space="preserve">Top-5 species concentration was fairly stable across most of the dataset: 51.79% (1950s), 47.30% (1960s), 52.95% (1970s), 53.52% (1980s), 52.85% (1990s), peaking at 56.73% (2000s) — then dropping to 42.73% in the 2010s, the lowest of any decade.</w:t>
      </w:r>
    </w:p>
    <w:p>
      <w:pPr>
        <w:spacing w:after="200"/>
      </w:pPr>
      <w:r>
        <w:rPr>
          <w:b/>
          <w:bCs/>
        </w:rPr>
        <w:t xml:space="preserve">Insight (Part B): </w:t>
      </w:r>
      <w:r>
        <w:t xml:space="preserve">Contrary to the common overfishing narrative of "increasing reliance on fewer species," concentration in the fishery actually decreased in the most recent decade. This coincides with the post-2010 catch volume drop — as total catch fell, the remaining catch became slightly more diversified across species rather than more concentrated.</w:t>
      </w:r>
    </w:p>
    <w:p>
      <w:pPr>
        <w:pStyle w:val="Heading2"/>
        <w:spacing w:after="120" w:before="320"/>
      </w:pPr>
      <w:r>
        <w:t xml:space="preserve">4. Catch Composition Shift</w:t>
      </w:r>
    </w:p>
    <w:p>
      <w:pPr>
        <w:spacing w:after="160"/>
      </w:pPr>
      <w:r>
        <w:rPr>
          <w:i/>
          <w:iCs/>
          <w:color w:val="666666"/>
          <w:sz w:val="20"/>
          <w:szCs w:val="20"/>
        </w:rPr>
        <w:t xml:space="preserve">Query: 04_composition_shift.sql</w:t>
      </w:r>
    </w:p>
    <w:p>
      <w:pPr>
        <w:spacing w:after="200"/>
      </w:pPr>
      <w:r>
        <w:rPr>
          <w:b/>
          <w:bCs/>
        </w:rPr>
        <w:t xml:space="preserve">Finding: </w:t>
      </w:r>
      <w:r>
        <w:t xml:space="preserve">Large predatory functional groups have declined as a share of total catch over time. Large sharks (≥90cm) fell from ~3.8-4.1% of total catch in the 1950s-70s to just 0.8-1.5% from the 1980s onward. Large reef-associated fish (≥90cm) dropped from ~5.6-5.7% (1950s-60s) to ~2.6-3.3% (1980s-2010s). Large pelagics (≥90cm) fell from ~23% of catch (1950s-60s) to 9.6% (2000s), partially recovering to 14% in the 2010s but still below historic share. Conversely, small benthopelagics (&lt;30cm) — negligible in the 1950s — grew to consistently represent 6-9% of total catch from the 1980s onward.</w:t>
      </w:r>
    </w:p>
    <w:p>
      <w:pPr>
        <w:spacing w:after="200"/>
      </w:pPr>
      <w:r>
        <w:rPr>
          <w:b/>
          <w:bCs/>
        </w:rPr>
        <w:t xml:space="preserve">Insight: </w:t>
      </w:r>
      <w:r>
        <w:t xml:space="preserve">This is a clear, sustained "fishing down the food web" signal — catch composition has shifted measurably away from large predators toward smaller, lower-trophic-level species across 70 years. This independently reproduces the pattern documented in Berumen et al.'s Red Sea fish market study on shrinking baselines and potential overexploitation, lending strong external validation. This is the strongest sustainability signal in the dataset.</w:t>
      </w:r>
    </w:p>
    <w:p>
      <w:pPr>
        <w:pStyle w:val="Heading2"/>
        <w:spacing w:after="120" w:before="320"/>
      </w:pPr>
      <w:r>
        <w:t xml:space="preserve">5. Fishing Sector Breakdown</w:t>
      </w:r>
    </w:p>
    <w:p>
      <w:pPr>
        <w:spacing w:after="160"/>
      </w:pPr>
      <w:r>
        <w:rPr>
          <w:i/>
          <w:iCs/>
          <w:color w:val="666666"/>
          <w:sz w:val="20"/>
          <w:szCs w:val="20"/>
        </w:rPr>
        <w:t xml:space="preserve">Query: 05_sector_breakdown.sql</w:t>
      </w:r>
    </w:p>
    <w:p>
      <w:pPr>
        <w:spacing w:after="200"/>
      </w:pPr>
      <w:r>
        <w:rPr>
          <w:b/>
          <w:bCs/>
        </w:rPr>
        <w:t xml:space="preserve">Finding: </w:t>
      </w:r>
      <w:r>
        <w:t xml:space="preserve">The sector mix shifted through three eras. In 1950-70s, artisanal fishing dominated (64% of catch in 1950 vs. 18% industrial). From the 1980s through 2010, industrial fishing rapidly overtook artisanal — by 2010, industrial represented 65.9% of total catch (46,755 tonnes) vs. artisanal's 28.4%. In 2011, industrial catch collapsed from 46,755 to 15,633 tonnes (a 66.6% single-year drop), while artisanal catch stayed essentially flat/grew slightly (20,128 to 21,298 tonnes by 2019). Subsistence and recreational sectors remained small and stable throughout.</w:t>
      </w:r>
    </w:p>
    <w:p>
      <w:pPr>
        <w:spacing w:after="200"/>
      </w:pPr>
      <w:r>
        <w:rPr>
          <w:b/>
          <w:bCs/>
        </w:rPr>
        <w:t xml:space="preserve">Insight: </w:t>
      </w:r>
      <w:r>
        <w:t xml:space="preserve">This explains the sudden 2010-2011 total catch collapse: it was driven almost entirely by the industrial sector, not a fishery-wide decline. Artisanal fishing barely moved and has grown modestly since 2011, while industrial fishing lost two-thirds of its output and never recovered. The "44.6% decline since peak" headline is fundamentally a story of industrial fishing capacity collapsing, while small-scale artisanal fishing has remained resilient.</w:t>
      </w:r>
    </w:p>
    <w:p>
      <w:pPr>
        <w:spacing w:after="200"/>
      </w:pPr>
      <w:r>
        <w:rPr>
          <w:b/>
          <w:bCs/>
        </w:rPr>
        <w:t xml:space="preserve">Follow-up research note: </w:t>
      </w:r>
      <w:r>
        <w:t xml:space="preserve">A web search for a documented cause of the 2010-2011 industrial catch collapse did not turn up a specific confirmed explanation. Saudi aquaculture production also dropped sharply in 2011 due to a shrimp viral disease outbreak, suggesting 2011 was a difficult year for Saudi marine production broadly, though this doesn't directly explain the wild-catch industrial decline. Presented as an open question rather than a confirmed cause.</w:t>
      </w:r>
    </w:p>
    <w:p>
      <w:pPr>
        <w:pStyle w:val="Heading2"/>
        <w:spacing w:after="120" w:before="320"/>
      </w:pPr>
      <w:r>
        <w:t xml:space="preserve">6. Unreported Catch Trend</w:t>
      </w:r>
    </w:p>
    <w:p>
      <w:pPr>
        <w:spacing w:after="160"/>
      </w:pPr>
      <w:r>
        <w:rPr>
          <w:i/>
          <w:iCs/>
          <w:color w:val="666666"/>
          <w:sz w:val="20"/>
          <w:szCs w:val="20"/>
        </w:rPr>
        <w:t xml:space="preserve">Query: 06_unreported_catch_trend.sql</w:t>
      </w:r>
    </w:p>
    <w:p>
      <w:pPr>
        <w:spacing w:after="200"/>
      </w:pPr>
      <w:r>
        <w:rPr>
          <w:b/>
          <w:bCs/>
        </w:rPr>
        <w:t xml:space="preserve">Finding: </w:t>
      </w:r>
      <w:r>
        <w:t xml:space="preserve">Unreported catch followed a U-shaped pattern with a concerning recent uptick. It started very high in the 1950s (~50.6% decade average), dropped steadily through the 1960s-70s to a historic low (~16.8% decade average, bottoming at 9.2% in 1981), then crept back upward through the 1980s-2000s (17-23% decade average), before jumping to its highest sustained level since the 1950s in the 2010s — averaging ~29.3% (volume-weighted: ~28.5%).</w:t>
      </w:r>
    </w:p>
    <w:p>
      <w:pPr>
        <w:spacing w:after="200"/>
      </w:pPr>
      <w:r>
        <w:rPr>
          <w:b/>
          <w:bCs/>
        </w:rPr>
        <w:t xml:space="preserve">Insight: </w:t>
      </w:r>
      <w:r>
        <w:t xml:space="preserve">The 2010s spike in unreported catch coincides almost exactly with the industrial sector's collapse and artisanal fishing becoming relatively more dominant again. Artisanal/subsistence fishing is structurally harder to formally monitor than industrial vessels, so as the fishery shifted back toward artisanal-dominance post-2011, overall reporting completeness likely declined as a side effect of that structural shift. The recent decline in total catch coincided with a decline in data reliability itself.</w:t>
      </w:r>
    </w:p>
    <w:p>
      <w:pPr>
        <w:pStyle w:val="Heading2"/>
        <w:spacing w:after="120" w:before="320"/>
      </w:pPr>
      <w:r>
        <w:t xml:space="preserve">7. Discards Analysis</w:t>
      </w:r>
    </w:p>
    <w:p>
      <w:pPr>
        <w:spacing w:after="160"/>
      </w:pPr>
      <w:r>
        <w:rPr>
          <w:i/>
          <w:iCs/>
          <w:color w:val="666666"/>
          <w:sz w:val="20"/>
          <w:szCs w:val="20"/>
        </w:rPr>
        <w:t xml:space="preserve">Query: 07_discards_analysis.sql</w:t>
      </w:r>
    </w:p>
    <w:p>
      <w:pPr>
        <w:spacing w:after="200"/>
      </w:pPr>
      <w:r>
        <w:rPr>
          <w:b/>
          <w:bCs/>
        </w:rPr>
        <w:t xml:space="preserve">Finding (Part A — Overall discard %): </w:t>
      </w:r>
      <w:r>
        <w:t xml:space="preserve">Total discards across the full dataset are 206,554 tonnes out of 2,502,630 tonnes total catch — 8.25% of all catch is discarded (never landed or sold).</w:t>
      </w:r>
    </w:p>
    <w:p>
      <w:pPr>
        <w:spacing w:after="200"/>
      </w:pPr>
      <w:r>
        <w:rPr>
          <w:b/>
          <w:bCs/>
        </w:rPr>
        <w:t xml:space="preserve">Finding (Part B — By gear type): </w:t>
      </w:r>
      <w:r>
        <w:t xml:space="preserve">Bottom trawling accounts for 99.99% of all discards — 206,536 tonnes out of the total 206,554 tonnes discarded. "Unknown class" and longline gear contribute a negligible ~18 tonnes combined.</w:t>
      </w:r>
    </w:p>
    <w:p>
      <w:pPr>
        <w:spacing w:after="200"/>
      </w:pPr>
      <w:r>
        <w:rPr>
          <w:b/>
          <w:bCs/>
        </w:rPr>
        <w:t xml:space="preserve">Insight: </w:t>
      </w:r>
      <w:r>
        <w:t xml:space="preserve">Bottom trawling is non-selective, scooping up everything in its path along the seafloor. If Saudi Arabia wanted to reduce wasted catch, regulating bottom trawl gear would be the single highest-leverage intervention — virtually all discard waste traces to one gear type.</w:t>
      </w:r>
    </w:p>
    <w:p>
      <w:pPr>
        <w:spacing w:after="200"/>
      </w:pPr>
      <w:r>
        <w:rPr>
          <w:b/>
          <w:bCs/>
        </w:rPr>
        <w:t xml:space="preserve">Finding (Part C — By species): </w:t>
      </w:r>
      <w:r>
        <w:t xml:space="preserve">Slipmouths/ponyfishes are the largest single discard category at 130,392 tonnes — identical to their total catch figure from Section 3, meaning 100% of every slipmouth/ponyfish ever caught was discarded, none landed or sold. "Marine fishes not identified" (21,935 tonnes), grunters/tigerperches (14,625), cutlassfishes and mojarras (8,445 each) round out the top categories.</w:t>
      </w:r>
    </w:p>
    <w:p>
      <w:pPr>
        <w:spacing w:after="200"/>
      </w:pPr>
      <w:r>
        <w:rPr>
          <w:b/>
          <w:bCs/>
        </w:rPr>
        <w:t xml:space="preserve">Insight (Part C): </w:t>
      </w:r>
      <w:r>
        <w:t xml:space="preserve">This ties Sections 4, 7A, and 7B together: bottom trawling sweeps up small, commercially undesirable schooling fish like slipmouths as bycatch, and their entire recorded catch was discarded — contributing 63% of all discarded catch on its own. "Slipmouths/ponyfishes make up nearly two-thirds of all discarded catch — and not a single tonne was ever kept."</w:t>
      </w:r>
    </w:p>
    <w:p>
      <w:pPr>
        <w:pStyle w:val="Heading2"/>
        <w:spacing w:after="120" w:before="320"/>
      </w:pPr>
      <w:r>
        <w:t xml:space="preserve">8. Value vs. Volume</w:t>
      </w:r>
    </w:p>
    <w:p>
      <w:pPr>
        <w:spacing w:after="160"/>
      </w:pPr>
      <w:r>
        <w:rPr>
          <w:i/>
          <w:iCs/>
          <w:color w:val="666666"/>
          <w:sz w:val="20"/>
          <w:szCs w:val="20"/>
        </w:rPr>
        <w:t xml:space="preserve">Query: 08_value_vs_volume.sql</w:t>
      </w:r>
    </w:p>
    <w:p>
      <w:pPr>
        <w:spacing w:after="200"/>
      </w:pPr>
      <w:r>
        <w:rPr>
          <w:b/>
          <w:bCs/>
        </w:rPr>
        <w:t xml:space="preserve">Finding: </w:t>
      </w:r>
      <w:r>
        <w:t xml:space="preserve">Value per tonne sat around $350-540/tonne through the 1950s-60s, then jumped abruptly from $602 (1972) to $2,039 (1973) — a 3.4x single-year increase — and remained elevated in the $1,500-2,800/tonne range for the rest of the dataset. Value per tonne fell sharply after the 2010 catch collapse from $2,396/tonne (2010) to $1,473 (2012), only partially recovering since — averaging roughly $1,700-1,765/tonne from 2011-2019, still well below the 2000s average of ~$2,200/tonne.</w:t>
      </w:r>
    </w:p>
    <w:p>
      <w:pPr>
        <w:spacing w:after="200"/>
      </w:pPr>
      <w:r>
        <w:rPr>
          <w:b/>
          <w:bCs/>
        </w:rPr>
        <w:t xml:space="preserve">Insight: </w:t>
      </w:r>
      <w:r>
        <w:t xml:space="preserve">The 1973 3.4x jump is almost certainly a data/methodology artifact rather than a real market event. Pre-1973 and post-1973 figures should be treated as not directly comparable. Within the comparable post-1973 era, value per tonne dropped substantially after the 2010 industrial collapse and never fully recovered — the fishery isn't just catching less since 2011, what it catches is also worth less per tonne.</w:t>
      </w:r>
    </w:p>
    <w:p>
      <w:pPr>
        <w:pStyle w:val="Heading2"/>
        <w:spacing w:after="120" w:before="320"/>
      </w:pPr>
      <w:r>
        <w:t xml:space="preserve">9. Uncertainty Analysis</w:t>
      </w:r>
    </w:p>
    <w:p>
      <w:pPr>
        <w:spacing w:after="160"/>
      </w:pPr>
      <w:r>
        <w:rPr>
          <w:i/>
          <w:iCs/>
          <w:color w:val="666666"/>
          <w:sz w:val="20"/>
          <w:szCs w:val="20"/>
        </w:rPr>
        <w:t xml:space="preserve">Query: 09_uncertainty_analysis.sql</w:t>
      </w:r>
    </w:p>
    <w:p>
      <w:pPr>
        <w:spacing w:after="200"/>
      </w:pPr>
      <w:r>
        <w:rPr>
          <w:b/>
          <w:bCs/>
        </w:rPr>
        <w:t xml:space="preserve">Finding (Part A — By year): </w:t>
      </w:r>
      <w:r>
        <w:t xml:space="preserve">Average uncertainty score is flat at exactly 1.96 across the entire 32-year span from 1950-1981, shifts to ~2.01-2.09 from 1982-2009, then drops sharply to ~1.08-1.12 starting in 2010 and remains there through 2019.</w:t>
      </w:r>
    </w:p>
    <w:p>
      <w:pPr>
        <w:spacing w:after="200"/>
      </w:pPr>
      <w:r>
        <w:rPr>
          <w:b/>
          <w:bCs/>
        </w:rPr>
        <w:t xml:space="preserve">Insight: </w:t>
      </w:r>
      <w:r>
        <w:t xml:space="preserve">This apparent "improvement" in data confidence after 2010 contradicts Section 6, where unreported catch actually increased after 2011. This mismatch suggests uncertainty_score measures something more specific than reporting completeness — likely the data source's confidence in the tonnage estimate itself, independent of reporting status.</w:t>
      </w:r>
    </w:p>
    <w:p>
      <w:pPr>
        <w:spacing w:after="200"/>
      </w:pPr>
      <w:r>
        <w:rPr>
          <w:b/>
          <w:bCs/>
        </w:rPr>
        <w:t xml:space="preserve">Finding (Part B — By fishing sector): </w:t>
      </w:r>
      <w:r>
        <w:t xml:space="preserve">Average uncertainty is highest for Industrial fishing (2.78), followed by Artisanal (1.90), Recreational (1.80), and lowest for Subsistence (1.00).</w:t>
      </w:r>
    </w:p>
    <w:p>
      <w:pPr>
        <w:spacing w:after="200"/>
      </w:pPr>
      <w:r>
        <w:rPr>
          <w:b/>
          <w:bCs/>
        </w:rPr>
        <w:t xml:space="preserve">Insight (Part B): </w:t>
      </w:r>
      <w:r>
        <w:t xml:space="preserve">Counterintuitively, industrial fishing — the most formally documented sector — carries the highest uncertainty, while informal subsistence fishing is rated most confident. This reinforces that uncertainty_score reflects estimation-method confidence, not literal real-world data quality.</w:t>
      </w:r>
    </w:p>
    <w:p>
      <w:pPr>
        <w:spacing w:after="200"/>
      </w:pPr>
      <w:r>
        <w:rPr>
          <w:b/>
          <w:bCs/>
        </w:rPr>
        <w:t xml:space="preserve">Finding (Part C — Species with missing scores): </w:t>
      </w:r>
      <w:r>
        <w:t xml:space="preserve">An initial query returned entirely blank/NULL values due to a SQL NULL-sorting default (PostgreSQL sorts NULLs first in DESC order). The species surfaced — mostly sharks, plus lanternfishes, venus clams, and rabbitfishes — have no uncertainty_score recorded at all, likely because they have thinner underlying data to build an estimate from.</w:t>
      </w:r>
    </w:p>
    <w:p>
      <w:pPr>
        <w:spacing w:after="200"/>
      </w:pPr>
      <w:r>
        <w:rPr>
          <w:b/>
          <w:bCs/>
        </w:rPr>
        <w:t xml:space="preserve">Finding (Part C, corrected): </w:t>
      </w:r>
      <w:r>
        <w:t xml:space="preserve">Threadfins/whiptail breams have the highest rated uncertainty (3.00), followed by a cluster of 8 species scoring exactly 2.74, including slipmouths/ponyfishes — the same species responsible for 63% of all discards.</w:t>
      </w:r>
    </w:p>
    <w:p>
      <w:pPr>
        <w:spacing w:after="200"/>
      </w:pPr>
      <w:r>
        <w:rPr>
          <w:b/>
          <w:bCs/>
        </w:rPr>
        <w:t xml:space="preserve">Insight (Part C): </w:t>
      </w:r>
      <w:r>
        <w:t xml:space="preserve">The report's single largest discard finding is also one of the higher-uncertainty species in the dataset, meaning the 130,392-tonne discard figure should be presented as a well-supported estimate rather than an exact figure.</w:t>
      </w:r>
    </w:p>
    <w:p>
      <w:pPr>
        <w:pStyle w:val="Heading2"/>
        <w:spacing w:after="120" w:before="320"/>
      </w:pPr>
      <w:r>
        <w:t xml:space="preserve">10. Structural Comparison (Early vs. Middle vs. Recent Period)</w:t>
      </w:r>
    </w:p>
    <w:p>
      <w:pPr>
        <w:spacing w:after="160"/>
      </w:pPr>
      <w:r>
        <w:rPr>
          <w:i/>
          <w:iCs/>
          <w:color w:val="666666"/>
          <w:sz w:val="20"/>
          <w:szCs w:val="20"/>
        </w:rPr>
        <w:t xml:space="preserve">Query: 10_structural_comparison.sql</w:t>
      </w:r>
    </w:p>
    <w:p>
      <w:pPr>
        <w:spacing w:after="200"/>
      </w:pPr>
      <w:r>
        <w:rPr>
          <w:b/>
          <w:bCs/>
        </w:rPr>
        <w:t xml:space="preserve">Finding: </w:t>
      </w:r>
      <w:r>
        <w:t xml:space="preserve">In the Early period (1950-79), Artisanal + Medium reef-associated fish led (104,175 tonnes). In the Middle period (1980-2009), Industrial + Medium demersals exploded to 480,365 tonnes — nearly 6x its early-period level, and roughly 29% of all catch across those 30 years. In the Recent period (2010-present), that category collapsed to 50,870 tonnes — an 89% drop — while Artisanal + Medium reef-associated fish is now the largest category again. Large sharks (Artisanal) fell 70% from the middle period to recent.</w:t>
      </w:r>
    </w:p>
    <w:p>
      <w:pPr>
        <w:spacing w:after="200"/>
      </w:pPr>
      <w:r>
        <w:rPr>
          <w:b/>
          <w:bCs/>
        </w:rPr>
        <w:t xml:space="preserve">Insight: </w:t>
      </w:r>
      <w:r>
        <w:t xml:space="preserve">This puts precise numbers behind the report's throughline: a boom-and-bust cycle centered on industrial bottom-demersal fishing. It expanded almost sixfold from the early to middle period, then collapsed by 89% into the recent period. The fishery has structurally reverted toward artisanal dominance, echoing its 1950s-70s composition, but at lower overall volume.</w:t>
      </w:r>
    </w:p>
    <w:p>
      <w:pPr>
        <w:pStyle w:val="Heading1"/>
        <w:spacing w:after="160" w:before="400"/>
      </w:pPr>
      <w:r>
        <w:t xml:space="preserve">Overall Summary</w:t>
      </w:r>
    </w:p>
    <w:p>
      <w:pPr>
        <w:spacing w:after="200"/>
      </w:pPr>
      <w:r>
        <w:t xml:space="preserve">Saudi Arabia's Red Sea fishery tells a clear boom-and-bust story, and the mechanism behind it is remarkably consistent across every angle of this analysis.</w:t>
      </w:r>
    </w:p>
    <w:p>
      <w:pPr>
        <w:spacing w:after="200"/>
      </w:pPr>
      <w:r>
        <w:rPr>
          <w:b/>
          <w:bCs/>
        </w:rPr>
        <w:t xml:space="preserve">The arc: </w:t>
      </w:r>
      <w:r>
        <w:t xml:space="preserve">Catch grew roughly 8x from 1950 (8,889 tonnes) to a 2010 peak (70,964 tonnes), driven almost entirely by the rapid rise of industrial bottom-trawl fishing targeting demersal fish — a single sector/species-group combination that came to represent nearly 30% of all catch during 1980-2009. In 2011, industrial catch collapsed by two-thirds in a single year, dragging total catch down 44.6% from its peak; it has remained flat at that lower level since. Artisanal fishing barely wavered through this cycle and is now the dominant sector again — the fishery has structurally reverted toward its 1950s-70s shape, just at lower volume.</w:t>
      </w:r>
    </w:p>
    <w:p>
      <w:pPr>
        <w:spacing w:after="200"/>
      </w:pPr>
      <w:r>
        <w:rPr>
          <w:b/>
          <w:bCs/>
        </w:rPr>
        <w:t xml:space="preserve">The sustainability signal: </w:t>
      </w:r>
      <w:r>
        <w:t xml:space="preserve">Independent of the volume story, catch composition shows a genuine "fishing down the food web" pattern — large sharks, large reef fish, and large pelagics have all shrunk as a share of total catch since the 1950s-70s. This matches published Red Sea research on shrinking baselines, giving this analysis external validation.</w:t>
      </w:r>
    </w:p>
    <w:p>
      <w:pPr>
        <w:spacing w:after="200"/>
      </w:pPr>
      <w:r>
        <w:rPr>
          <w:b/>
          <w:bCs/>
        </w:rPr>
        <w:t xml:space="preserve">The waste problem: </w:t>
      </w:r>
      <w:r>
        <w:t xml:space="preserve">Bottom trawling — the same gear behind the industrial boom — is responsible for virtually 100% of the fishery's 206,554 tonnes of discarded catch (8.25% of all catch ever caught). One species, slipmouths/ponyfishes, accounts for 63% of all discards on its own.</w:t>
      </w:r>
    </w:p>
    <w:p>
      <w:pPr>
        <w:spacing w:after="200"/>
      </w:pPr>
      <w:r>
        <w:rPr>
          <w:b/>
          <w:bCs/>
        </w:rPr>
        <w:t xml:space="preserve">The data reliability picture: </w:t>
      </w:r>
      <w:r>
        <w:t xml:space="preserve">Unreported catch rose to its highest sustained level since the 1950s in the 2010s, coinciding with the shift back toward harder-to-monitor artisanal fishing. Meanwhile, the dataset's uncertainty scoring appears to reflect estimation methodology rather than real-world confidence, and several important species carry above-average uncertainty — meaning key findings should be read as well-supported estimates rather than precise figures.</w:t>
      </w:r>
    </w:p>
    <w:p>
      <w:pPr>
        <w:spacing w:after="200"/>
      </w:pPr>
      <w:r>
        <w:rPr>
          <w:b/>
          <w:bCs/>
        </w:rPr>
        <w:t xml:space="preserve">Bottom line: </w:t>
      </w:r>
      <w:r>
        <w:t xml:space="preserve">This is not simply a story of "the Red Sea fishery is being overfished." It's a more specific story: a mid-century industrial bottom-trawl boom drove both the fishery's peak output and its worst ecological waste, that boom collapsed sharply after 2010 for reasons the public data cannot fully explain, and what's left is a smaller, more artisanal, somewhat less-monitored fishery still showing signs of long-term pressure on large predatory species.</w:t>
      </w:r>
    </w:p>
    <w:p>
      <w:pPr>
        <w:pStyle w:val="Heading1"/>
        <w:spacing w:after="160" w:before="400"/>
      </w:pPr>
      <w:r>
        <w:t xml:space="preserve">Limitations &amp; Caveats</w:t>
      </w:r>
    </w:p>
    <w:p>
      <w:pPr>
        <w:pStyle w:val="ListParagraph"/>
        <w:numPr>
          <w:ilvl w:val="0"/>
          <w:numId w:val="1"/>
        </w:numPr>
        <w:spacing w:after="100"/>
      </w:pPr>
      <w:r>
        <w:t xml:space="preserve">Data covers Saudi Arabia's Red Sea EEZ only; other Red Sea nations not yet included.</w:t>
      </w:r>
    </w:p>
    <w:p>
      <w:pPr>
        <w:pStyle w:val="ListParagraph"/>
        <w:numPr>
          <w:ilvl w:val="0"/>
          <w:numId w:val="1"/>
        </w:numPr>
        <w:spacing w:after="100"/>
      </w:pPr>
      <w:r>
        <w:t xml:space="preserve">"Unreported catch" figures are modeled estimates, not direct measurements.</w:t>
      </w:r>
    </w:p>
    <w:p>
      <w:pPr>
        <w:pStyle w:val="ListParagraph"/>
        <w:numPr>
          <w:ilvl w:val="0"/>
          <w:numId w:val="1"/>
        </w:numPr>
        <w:spacing w:after="100"/>
      </w:pPr>
      <w:r>
        <w:t xml:space="preserve">Early decades (1950s–60s) may have sparser/noisier records than recent years — treat early-period trends with caution.</w:t>
      </w:r>
    </w:p>
    <w:p>
      <w:pPr>
        <w:pStyle w:val="ListParagraph"/>
        <w:numPr>
          <w:ilvl w:val="0"/>
          <w:numId w:val="1"/>
        </w:numPr>
        <w:spacing w:after="100"/>
      </w:pPr>
      <w:r>
        <w:t xml:space="preserve">The 2010–2011 industrial collapse has no confirmed documented cause in public sources — presented as an open question.</w:t>
      </w:r>
    </w:p>
    <w:p>
      <w:pPr>
        <w:pStyle w:val="ListParagraph"/>
        <w:numPr>
          <w:ilvl w:val="0"/>
          <w:numId w:val="1"/>
        </w:numPr>
        <w:spacing w:after="100"/>
      </w:pPr>
      <w:r>
        <w:t xml:space="preserve">Pre/post-1973 economic figures are not directly comparable due to an apparent data-source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2026-08-30T19:34:02.836Z</dcterms:created>
  <dcterms:modified xsi:type="dcterms:W3CDTF">2026-08-30T19:34:02.848Z</dcterms:modified>
</cp:coreProperties>
</file>

<file path=docProps/custom.xml><?xml version="1.0" encoding="utf-8"?>
<Properties xmlns="http://schemas.openxmlformats.org/officeDocument/2006/custom-properties" xmlns:vt="http://schemas.openxmlformats.org/officeDocument/2006/docPropsVTypes"/>
</file>