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center"/>
      </w:pPr>
      <w:r>
        <w:rPr>
          <w:rFonts w:ascii="Arial" w:cs="Arial" w:eastAsia="Arial" w:hAnsi="Arial"/>
          <w:b/>
          <w:bCs/>
          <w:color w:val="0D4A28"/>
          <w:sz w:val="56"/>
          <w:szCs w:val="56"/>
        </w:rPr>
        <w:t xml:space="preserve">ESG GAP ANALYSIS</w:t>
      </w:r>
    </w:p>
    <w:p>
      <w:pPr>
        <w:spacing w:after="40" w:before="0"/>
        <w:jc w:val="center"/>
      </w:pPr>
      <w:r>
        <w:rPr>
          <w:rFonts w:ascii="Arial" w:cs="Arial" w:eastAsia="Arial" w:hAnsi="Arial"/>
          <w:color w:val="1A6B3C"/>
          <w:sz w:val="26"/>
          <w:szCs w:val="26"/>
        </w:rPr>
        <w:t xml:space="preserve">Infosys Limited — Business Responsibility &amp; Sustainability Report (BRSR) 2023–24</w:t>
      </w:r>
    </w:p>
    <w:p>
      <w:pPr>
        <w:pBdr>
          <w:bottom w:val="single" w:color="1A6B3C" w:sz="8" w:space="4"/>
        </w:pBdr>
        <w:spacing w:after="200" w:before="0"/>
        <w:jc w:val="center"/>
      </w:pPr>
      <w:r>
        <w:t xml:space="preserve"/>
      </w:r>
    </w:p>
    <w:p>
      <w:pPr>
        <w:spacing w:after="0" w:before="200"/>
      </w:pPr>
      <w:r>
        <w:t xml:space="preserve"/>
      </w:r>
    </w:p>
    <w:p>
      <w:pPr>
        <w:spacing w:after="60" w:before="0"/>
        <w:jc w:val="center"/>
      </w:pPr>
      <w:r>
        <w:rPr>
          <w:rFonts w:ascii="Arial" w:cs="Arial" w:eastAsia="Arial" w:hAnsi="Arial"/>
          <w:color w:val="1C2833"/>
          <w:sz w:val="24"/>
          <w:szCs w:val="24"/>
        </w:rPr>
        <w:t xml:space="preserve">Prepared by: Esha Varyani</w:t>
      </w:r>
    </w:p>
    <w:p>
      <w:pPr>
        <w:spacing w:after="40" w:before="0"/>
        <w:jc w:val="center"/>
      </w:pPr>
      <w:r>
        <w:rPr>
          <w:rFonts w:ascii="Arial" w:cs="Arial" w:eastAsia="Arial" w:hAnsi="Arial"/>
          <w:color w:val="666666"/>
          <w:sz w:val="22"/>
          <w:szCs w:val="22"/>
        </w:rPr>
        <w:t xml:space="preserve">MSc Fintech &amp; Business Analytics | University of Westminster, London</w:t>
      </w:r>
    </w:p>
    <w:p>
      <w:pPr>
        <w:spacing w:after="40" w:before="0"/>
        <w:jc w:val="center"/>
      </w:pPr>
      <w:r>
        <w:rPr>
          <w:rFonts w:ascii="Arial" w:cs="Arial" w:eastAsia="Arial" w:hAnsi="Arial"/>
          <w:color w:val="666666"/>
          <w:sz w:val="22"/>
          <w:szCs w:val="22"/>
        </w:rPr>
        <w:t xml:space="preserve">github.com/esha2727  |  linkedin.com/in/esha-varyani</w:t>
      </w:r>
    </w:p>
    <w:p>
      <w:pPr>
        <w:spacing w:after="40" w:before="0"/>
        <w:jc w:val="center"/>
      </w:pPr>
      <w:r>
        <w:rPr>
          <w:rFonts w:ascii="Arial" w:cs="Arial" w:eastAsia="Arial" w:hAnsi="Arial"/>
          <w:color w:val="666666"/>
          <w:sz w:val="22"/>
          <w:szCs w:val="22"/>
        </w:rPr>
        <w:t xml:space="preserve">May 2026</w:t>
      </w:r>
    </w:p>
    <w:p>
      <w:pPr>
        <w:spacing w:after="0" w:before="600"/>
      </w:pPr>
      <w:r>
        <w:t xml:space="preserve"/>
      </w:r>
    </w:p>
    <w:p>
      <w:pPr>
        <w:pStyle w:val="Heading1"/>
        <w:pBdr>
          <w:bottom w:val="single" w:color="1A6B3C" w:sz="8" w:space="4"/>
        </w:pBdr>
        <w:spacing w:after="120" w:before="320"/>
      </w:pPr>
      <w:r>
        <w:rPr>
          <w:rFonts w:ascii="Arial" w:cs="Arial" w:eastAsia="Arial" w:hAnsi="Arial"/>
          <w:b/>
          <w:bCs/>
          <w:color w:val="0D4A28"/>
          <w:sz w:val="32"/>
          <w:szCs w:val="32"/>
        </w:rPr>
        <w:t xml:space="preserve">Executive Summary</w:t>
      </w:r>
    </w:p>
    <w:p>
      <w:pPr>
        <w:spacing w:after="80" w:before="60"/>
      </w:pPr>
      <w:r>
        <w:rPr>
          <w:rFonts w:ascii="Arial" w:cs="Arial" w:eastAsia="Arial" w:hAnsi="Arial"/>
          <w:color w:val="1C2833"/>
          <w:sz w:val="22"/>
          <w:szCs w:val="22"/>
        </w:rPr>
        <w:t xml:space="preserve">This report provides an independent ESG gap analysis of Infosys Limited's Business Responsibility and Sustainability Report (BRSR) for the financial year 2023–24. The analysis evaluates Infosys's ESG disclosures against internationally recognised frameworks including the Global Reporting Initiative (GRI), Task Force on Climate-related Financial Disclosures (TCFD), SEBI's BRSR Core requirements, and the UN Sustainable Development Goals (SDGs).</w:t>
      </w:r>
    </w:p>
    <w:p>
      <w:pPr>
        <w:spacing w:after="0" w:before="80"/>
      </w:pPr>
      <w:r>
        <w:t xml:space="preserve"/>
      </w:r>
    </w:p>
    <w:p>
      <w:pPr>
        <w:spacing w:after="80" w:before="60"/>
      </w:pPr>
      <w:r>
        <w:rPr>
          <w:rFonts w:ascii="Arial" w:cs="Arial" w:eastAsia="Arial" w:hAnsi="Arial"/>
          <w:color w:val="1C2833"/>
          <w:sz w:val="22"/>
          <w:szCs w:val="22"/>
        </w:rPr>
        <w:t xml:space="preserve">Infosys is widely regarded as one of India's most advanced ESG reporters. The company achieved carbon neutrality for the sixth consecutive year in FY2024, was inducted into the Dow Jones Sustainability Index (DJSI) World and Emerging Markets indices, and published its BRSR Core indicators with Reasonable Assurance from an independent third party. These are genuine achievements that position Infosys ahead of most Indian listed companies.</w:t>
      </w:r>
    </w:p>
    <w:p>
      <w:pPr>
        <w:spacing w:after="0" w:before="80"/>
      </w:pPr>
      <w:r>
        <w:t xml:space="preserve"/>
      </w:r>
    </w:p>
    <w:p>
      <w:pPr>
        <w:spacing w:after="80" w:before="60"/>
      </w:pPr>
      <w:r>
        <w:rPr>
          <w:rFonts w:ascii="Arial" w:cs="Arial" w:eastAsia="Arial" w:hAnsi="Arial"/>
          <w:color w:val="1C2833"/>
          <w:sz w:val="22"/>
          <w:szCs w:val="22"/>
        </w:rPr>
        <w:t xml:space="preserve">However, this analysis identifies four material gaps that reduce the overall credibility and completeness of the disclosure, and highlights three areas carrying greenwashing risk that merit scrutiny from investors, auditors, and sustainability analysts.</w:t>
      </w:r>
    </w:p>
    <w:p>
      <w:pPr>
        <w:spacing w:after="0" w:before="120"/>
      </w:pPr>
      <w:r>
        <w:t xml:space="preserve"/>
      </w:r>
    </w:p>
    <w:p>
      <w:pPr>
        <w:pStyle w:val="Heading1"/>
        <w:pBdr>
          <w:bottom w:val="single" w:color="1A6B3C" w:sz="8" w:space="4"/>
        </w:pBdr>
        <w:spacing w:after="120" w:before="320"/>
      </w:pPr>
      <w:r>
        <w:rPr>
          <w:rFonts w:ascii="Arial" w:cs="Arial" w:eastAsia="Arial" w:hAnsi="Arial"/>
          <w:b/>
          <w:bCs/>
          <w:color w:val="0D4A28"/>
          <w:sz w:val="32"/>
          <w:szCs w:val="32"/>
        </w:rPr>
        <w:t xml:space="preserve">ESG Performance Scorecard</w:t>
      </w:r>
    </w:p>
    <w:p>
      <w:pPr>
        <w:spacing w:after="80" w:before="60"/>
      </w:pPr>
      <w:r>
        <w:rPr>
          <w:rFonts w:ascii="Arial" w:cs="Arial" w:eastAsia="Arial" w:hAnsi="Arial"/>
          <w:color w:val="1C2833"/>
          <w:sz w:val="22"/>
          <w:szCs w:val="22"/>
        </w:rPr>
        <w:t xml:space="preserve">The following scorecard rates Infosys's BRSR disclosure across six ESG dimensions against global best practice standards.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0D4A28" w:val="clear"/>
            <w:tcMar>
              <w:top w:type="dxa" w:w="80"/>
              <w:left w:type="dxa" w:w="120"/>
              <w:bottom w:type="dxa" w:w="80"/>
              <w:right w:type="dxa" w:w="120"/>
            </w:tcMar>
          </w:tcPr>
          <w:p>
            <w:r>
              <w:rPr>
                <w:rFonts w:ascii="Arial" w:cs="Arial" w:eastAsia="Arial" w:hAnsi="Arial"/>
                <w:b/>
                <w:bCs/>
                <w:color w:val="FFFFFF"/>
                <w:sz w:val="20"/>
                <w:szCs w:val="20"/>
              </w:rPr>
              <w:t xml:space="preserve">ESG Area</w:t>
            </w:r>
          </w:p>
        </w:tc>
        <w:tc>
          <w:tcPr>
            <w:tcW w:type="dxa" w:w="1400"/>
            <w:tcBorders>
              <w:top w:val="single" w:color="CCCCCC" w:sz="1"/>
              <w:left w:val="single" w:color="CCCCCC" w:sz="1"/>
              <w:bottom w:val="single" w:color="CCCCCC" w:sz="1"/>
              <w:right w:val="single" w:color="CCCCCC" w:sz="1"/>
            </w:tcBorders>
            <w:shd w:fill="0D4A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Rating</w:t>
            </w:r>
          </w:p>
        </w:tc>
        <w:tc>
          <w:tcPr>
            <w:tcW w:type="dxa" w:w="5160"/>
            <w:tcBorders>
              <w:top w:val="single" w:color="CCCCCC" w:sz="1"/>
              <w:left w:val="single" w:color="CCCCCC" w:sz="1"/>
              <w:bottom w:val="single" w:color="CCCCCC" w:sz="1"/>
              <w:right w:val="single" w:color="CCCCCC" w:sz="1"/>
            </w:tcBorders>
            <w:shd w:fill="0D4A28"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Carbon &amp; Climate</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STRONG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Six consecutive years of carbon neutrality. Scope 1, 2 and selected Scope 3 emissions assured. TCFD-aligned disclosures present.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Energy</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STRONG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75% renewable energy globally. 50% reduction in energy intensity vs 2020 baseline. LEED Platinum buildings across campuses.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Water</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D35400"/>
                <w:sz w:val="20"/>
                <w:szCs w:val="20"/>
              </w:rPr>
              <w:t xml:space="preserve">MODERATE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3R strategy documented but absolute water withdrawal figures lack year-on-year comparison. Water stress zone disclosure present but methodology unclear.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Supply Chain / Scope 3</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D35400"/>
                <w:sz w:val="20"/>
                <w:szCs w:val="20"/>
              </w:rPr>
              <w:t xml:space="preserve">WEAK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Value chain emissions partially disclosed. Supplier ESG assessment covers only 700 of thousands of suppliers. No supplier emission targets disclosed.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Social / Human Capital</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D35400"/>
                <w:sz w:val="20"/>
                <w:szCs w:val="20"/>
              </w:rPr>
              <w:t xml:space="preserve">MODERATE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Gender diversity and reskilling data reported. Pay equity ratio absent. Employee mental health and attrition root cause analysis missing.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Governance</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STRONG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Board sustainability committee in place. BRSR Core indicators independently assured. ESG Vision 2030 with measurable targets published.</w:t>
            </w:r>
          </w:p>
        </w:tc>
      </w:tr>
    </w:tbl>
    <w:p>
      <w:pPr>
        <w:spacing w:after="0" w:before="120"/>
      </w:pPr>
      <w:r>
        <w:t xml:space="preserve"/>
      </w:r>
    </w:p>
    <w:p>
      <w:pPr>
        <w:pStyle w:val="Heading1"/>
        <w:pBdr>
          <w:bottom w:val="single" w:color="1A6B3C" w:sz="8" w:space="4"/>
        </w:pBdr>
        <w:spacing w:after="120" w:before="320"/>
      </w:pPr>
      <w:r>
        <w:rPr>
          <w:rFonts w:ascii="Arial" w:cs="Arial" w:eastAsia="Arial" w:hAnsi="Arial"/>
          <w:b/>
          <w:bCs/>
          <w:color w:val="0D4A28"/>
          <w:sz w:val="32"/>
          <w:szCs w:val="32"/>
        </w:rPr>
        <w:t xml:space="preserve">What Infosys Reports Well</w:t>
      </w:r>
    </w:p>
    <w:p>
      <w:pPr>
        <w:spacing w:after="80" w:before="60"/>
      </w:pPr>
      <w:r>
        <w:rPr>
          <w:rFonts w:ascii="Arial" w:cs="Arial" w:eastAsia="Arial" w:hAnsi="Arial"/>
          <w:color w:val="1C2833"/>
          <w:sz w:val="22"/>
          <w:szCs w:val="22"/>
        </w:rPr>
        <w:t xml:space="preserve">Before identifying gaps, it is important to recognise that Infosys sets a genuinely high standard for ESG disclosure among Indian listed companies. The following areas represent best practice.</w:t>
      </w:r>
    </w:p>
    <w:p>
      <w:pPr>
        <w:spacing w:after="0" w:before="80"/>
      </w:pPr>
      <w:r>
        <w:t xml:space="preserve"/>
      </w:r>
    </w:p>
    <w:p>
      <w:pPr>
        <w:pStyle w:val="Heading2"/>
        <w:spacing w:after="100" w:before="240"/>
      </w:pPr>
      <w:r>
        <w:rPr>
          <w:rFonts w:ascii="Arial" w:cs="Arial" w:eastAsia="Arial" w:hAnsi="Arial"/>
          <w:b/>
          <w:bCs/>
          <w:color w:val="1A6B3C"/>
          <w:sz w:val="26"/>
          <w:szCs w:val="26"/>
        </w:rPr>
        <w:t xml:space="preserve">1. Carbon Neutrality with Independent Assurance</w:t>
      </w:r>
    </w:p>
    <w:p>
      <w:pPr>
        <w:spacing w:after="80" w:before="60"/>
      </w:pPr>
      <w:r>
        <w:rPr>
          <w:rFonts w:ascii="Arial" w:cs="Arial" w:eastAsia="Arial" w:hAnsi="Arial"/>
          <w:color w:val="1C2833"/>
          <w:sz w:val="22"/>
          <w:szCs w:val="22"/>
        </w:rPr>
        <w:t xml:space="preserve">Infosys achieved carbon neutrality across Scope 1, Scope 2, and relevant Scope 3 emissions in FY2024 — the sixth consecutive year — and did so 30 years ahead of the Paris Agreement timeline. Critically, this neutrality claim is supported by Reasonable Assurance from an independent third party under ISO 14068-1 certification. This is the gold standard for carbon disclosure and distinguishes Infosys from companies making unverified neutrality claims.</w:t>
      </w:r>
    </w:p>
    <w:p>
      <w:pPr>
        <w:spacing w:after="0" w:before="80"/>
      </w:pPr>
      <w:r>
        <w:t xml:space="preserve"/>
      </w:r>
    </w:p>
    <w:p>
      <w:pPr>
        <w:pStyle w:val="Heading2"/>
        <w:spacing w:after="100" w:before="240"/>
      </w:pPr>
      <w:r>
        <w:rPr>
          <w:rFonts w:ascii="Arial" w:cs="Arial" w:eastAsia="Arial" w:hAnsi="Arial"/>
          <w:b/>
          <w:bCs/>
          <w:color w:val="1A6B3C"/>
          <w:sz w:val="26"/>
          <w:szCs w:val="26"/>
        </w:rPr>
        <w:t xml:space="preserve">2. Renewable Energy Commitment and Achievement</w:t>
      </w:r>
    </w:p>
    <w:p>
      <w:pPr>
        <w:spacing w:after="80" w:before="60"/>
      </w:pPr>
      <w:r>
        <w:rPr>
          <w:rFonts w:ascii="Arial" w:cs="Arial" w:eastAsia="Arial" w:hAnsi="Arial"/>
          <w:color w:val="1C2833"/>
          <w:sz w:val="22"/>
          <w:szCs w:val="22"/>
        </w:rPr>
        <w:t xml:space="preserve">Infosys joined RE100 as the first Indian IT company and has achieved 75% renewable energy usage globally. The company's buildings strategy — including the LEED Platinum certified Infosys Crescent selected as one of 100 Iconic Sustainable Buildings globally — demonstrates that sustainability is embedded in operational design, not just reported retrospectively.</w:t>
      </w:r>
    </w:p>
    <w:p>
      <w:pPr>
        <w:spacing w:after="0" w:before="80"/>
      </w:pPr>
      <w:r>
        <w:t xml:space="preserve"/>
      </w:r>
    </w:p>
    <w:p>
      <w:pPr>
        <w:pStyle w:val="Heading2"/>
        <w:spacing w:after="100" w:before="240"/>
      </w:pPr>
      <w:r>
        <w:rPr>
          <w:rFonts w:ascii="Arial" w:cs="Arial" w:eastAsia="Arial" w:hAnsi="Arial"/>
          <w:b/>
          <w:bCs/>
          <w:color w:val="1A6B3C"/>
          <w:sz w:val="26"/>
          <w:szCs w:val="26"/>
        </w:rPr>
        <w:t xml:space="preserve">3. BRSR Core with Reasonable Assurance</w:t>
      </w:r>
    </w:p>
    <w:p>
      <w:pPr>
        <w:spacing w:after="80" w:before="60"/>
      </w:pPr>
      <w:r>
        <w:rPr>
          <w:rFonts w:ascii="Arial" w:cs="Arial" w:eastAsia="Arial" w:hAnsi="Arial"/>
          <w:color w:val="1C2833"/>
          <w:sz w:val="22"/>
          <w:szCs w:val="22"/>
        </w:rPr>
        <w:t xml:space="preserve">SEBI's BRSR Core framework requires Reasonable Assurance on key sustainability indicators. Infosys not only complies but extends the assurance scope beyond the mandatory minimum. The assurance engagement covered both FY2024 and comparative FY2023 data for selected indicators — a level of rigour rarely seen in Indian corporate ESG reporting.</w:t>
      </w:r>
    </w:p>
    <w:p>
      <w:pPr>
        <w:spacing w:after="0" w:before="80"/>
      </w:pPr>
      <w:r>
        <w:t xml:space="preserve"/>
      </w:r>
    </w:p>
    <w:p>
      <w:pPr>
        <w:pStyle w:val="Heading2"/>
        <w:spacing w:after="100" w:before="240"/>
      </w:pPr>
      <w:r>
        <w:rPr>
          <w:rFonts w:ascii="Arial" w:cs="Arial" w:eastAsia="Arial" w:hAnsi="Arial"/>
          <w:b/>
          <w:bCs/>
          <w:color w:val="1A6B3C"/>
          <w:sz w:val="26"/>
          <w:szCs w:val="26"/>
        </w:rPr>
        <w:t xml:space="preserve">4. ESG Vision 2030 — Measurable Targets</w:t>
      </w:r>
    </w:p>
    <w:p>
      <w:pPr>
        <w:spacing w:after="80" w:before="60"/>
      </w:pPr>
      <w:r>
        <w:rPr>
          <w:rFonts w:ascii="Arial" w:cs="Arial" w:eastAsia="Arial" w:hAnsi="Arial"/>
          <w:color w:val="1C2833"/>
          <w:sz w:val="22"/>
          <w:szCs w:val="22"/>
        </w:rPr>
        <w:t xml:space="preserve">Unlike many companies that publish qualitative sustainability commitments, Infosys's ESG Vision 2030 includes specific, time-bound, measurable targets — including net zero by 2040 and climate positivity by 2030. The annual BRSR provides progress against these targets, enabling year-on-year accountability tracking.</w:t>
      </w:r>
    </w:p>
    <w:p>
      <w:pPr>
        <w:spacing w:after="0" w:before="120"/>
      </w:pPr>
      <w:r>
        <w:t xml:space="preserve"/>
      </w:r>
    </w:p>
    <w:p>
      <w:pPr>
        <w:pStyle w:val="Heading1"/>
        <w:pBdr>
          <w:bottom w:val="single" w:color="1A6B3C" w:sz="8" w:space="4"/>
        </w:pBdr>
        <w:spacing w:after="120" w:before="320"/>
      </w:pPr>
      <w:r>
        <w:rPr>
          <w:rFonts w:ascii="Arial" w:cs="Arial" w:eastAsia="Arial" w:hAnsi="Arial"/>
          <w:b/>
          <w:bCs/>
          <w:color w:val="0D4A28"/>
          <w:sz w:val="32"/>
          <w:szCs w:val="32"/>
        </w:rPr>
        <w:t xml:space="preserve">Material Gaps in Disclosure</w:t>
      </w:r>
    </w:p>
    <w:p>
      <w:pPr>
        <w:spacing w:after="80" w:before="60"/>
      </w:pPr>
      <w:r>
        <w:rPr>
          <w:rFonts w:ascii="Arial" w:cs="Arial" w:eastAsia="Arial" w:hAnsi="Arial"/>
          <w:color w:val="1C2833"/>
          <w:sz w:val="22"/>
          <w:szCs w:val="22"/>
        </w:rPr>
        <w:t xml:space="preserve">The following four gaps are material — meaning they are significant enough to affect an investor's or analyst's assessment of Infosys's ESG performance and risk profile.</w:t>
      </w:r>
    </w:p>
    <w:p>
      <w:pPr>
        <w:spacing w:after="0" w:before="80"/>
      </w:pPr>
      <w:r>
        <w:t xml:space="preserve"/>
      </w:r>
    </w:p>
    <w:p>
      <w:pPr>
        <w:pStyle w:val="Heading2"/>
        <w:spacing w:after="100" w:before="240"/>
      </w:pPr>
      <w:r>
        <w:rPr>
          <w:rFonts w:ascii="Arial" w:cs="Arial" w:eastAsia="Arial" w:hAnsi="Arial"/>
          <w:b/>
          <w:bCs/>
          <w:color w:val="1A6B3C"/>
          <w:sz w:val="26"/>
          <w:szCs w:val="26"/>
        </w:rPr>
        <w:t xml:space="preserve">Gap 1 — Scope 3 Supply Chain Coverage is Inadequate</w:t>
      </w:r>
    </w:p>
    <w:p>
      <w:pPr>
        <w:spacing w:after="80" w:before="60"/>
      </w:pPr>
      <w:r>
        <w:rPr>
          <w:rFonts w:ascii="Arial" w:cs="Arial" w:eastAsia="Arial" w:hAnsi="Arial"/>
          <w:color w:val="1C2833"/>
          <w:sz w:val="22"/>
          <w:szCs w:val="22"/>
        </w:rPr>
        <w:t xml:space="preserve">Infosys engaged 700+ suppliers through its Sambandh programme in FY2024–25. However, Infosys works with thousands of suppliers globally. Restricting ESG assessment to a small fraction of the supply chain means the Scope 3 value chain emission picture is materially incomplete.</w:t>
      </w:r>
    </w:p>
    <w:p>
      <w:pPr>
        <w:spacing w:after="0" w:before="60"/>
      </w:pPr>
      <w:r>
        <w:t xml:space="preserve"/>
      </w:r>
    </w:p>
    <w:p>
      <w:pPr>
        <w:spacing w:after="80" w:before="60"/>
      </w:pPr>
      <w:r>
        <w:rPr>
          <w:rFonts w:ascii="Arial" w:cs="Arial" w:eastAsia="Arial" w:hAnsi="Arial"/>
          <w:color w:val="1C2833"/>
          <w:sz w:val="22"/>
          <w:szCs w:val="22"/>
        </w:rPr>
        <w:t xml:space="preserve">Under GRI 308 (Supplier Environmental Assessment) and GRI 414 (Supplier Social Assessment), companies are expected to report the percentage of suppliers screened for ESG criteria. Infosys does not disclose this percentage, making it impossible to assess the true coverage of its supply chain ESG programme.</w:t>
      </w:r>
    </w:p>
    <w:p>
      <w:pPr>
        <w:spacing w:after="0" w:before="60"/>
      </w:pPr>
      <w:r>
        <w:t xml:space="preserve"/>
      </w:r>
    </w:p>
    <w:p>
      <w:pPr>
        <w:spacing w:after="80" w:before="60"/>
      </w:pPr>
      <w:r>
        <w:rPr>
          <w:rFonts w:ascii="Arial" w:cs="Arial" w:eastAsia="Arial" w:hAnsi="Arial"/>
          <w:b w:val="false"/>
          <w:bCs w:val="false"/>
          <w:color w:val="1C2833"/>
          <w:sz w:val="22"/>
          <w:szCs w:val="22"/>
        </w:rPr>
        <w:t xml:space="preserve">This is increasingly significant as SEBI's BRSR Value Chain Reporting requirements expand mandatory ESG disclosures to principal value chain partners. Infosys should disclose: total supplier count, percentage assessed, assessment methodology, and supplier-level emission targets.</w:t>
      </w:r>
    </w:p>
    <w:p>
      <w:pPr>
        <w:spacing w:after="0" w:before="80"/>
      </w:pPr>
      <w:r>
        <w:t xml:space="preserve"/>
      </w:r>
    </w:p>
    <w:p>
      <w:pPr>
        <w:pStyle w:val="Heading2"/>
        <w:spacing w:after="100" w:before="240"/>
      </w:pPr>
      <w:r>
        <w:rPr>
          <w:rFonts w:ascii="Arial" w:cs="Arial" w:eastAsia="Arial" w:hAnsi="Arial"/>
          <w:b/>
          <w:bCs/>
          <w:color w:val="1A6B3C"/>
          <w:sz w:val="26"/>
          <w:szCs w:val="26"/>
        </w:rPr>
        <w:t xml:space="preserve">Gap 2 — Pay Equity Disclosure is Absent</w:t>
      </w:r>
    </w:p>
    <w:p>
      <w:pPr>
        <w:spacing w:after="80" w:before="60"/>
      </w:pPr>
      <w:r>
        <w:rPr>
          <w:rFonts w:ascii="Arial" w:cs="Arial" w:eastAsia="Arial" w:hAnsi="Arial"/>
          <w:color w:val="1C2833"/>
          <w:sz w:val="22"/>
          <w:szCs w:val="22"/>
        </w:rPr>
        <w:t xml:space="preserve">Infosys reports gender representation data across workforce levels and publishes employee reskilling numbers (8.5 million lives impacted through digital reskilling). However, the BRSR does not include a gender pay equity ratio or median pay comparison across employee categories.</w:t>
      </w:r>
    </w:p>
    <w:p>
      <w:pPr>
        <w:spacing w:after="0" w:before="60"/>
      </w:pPr>
      <w:r>
        <w:t xml:space="preserve"/>
      </w:r>
    </w:p>
    <w:p>
      <w:pPr>
        <w:spacing w:after="80" w:before="60"/>
      </w:pPr>
      <w:r>
        <w:rPr>
          <w:rFonts w:ascii="Arial" w:cs="Arial" w:eastAsia="Arial" w:hAnsi="Arial"/>
          <w:color w:val="1C2833"/>
          <w:sz w:val="22"/>
          <w:szCs w:val="22"/>
        </w:rPr>
        <w:t xml:space="preserve">This is a BRSR Core requirement under Principle 5 (Human Rights). The absence of pay equity data is a notable omission for a company that explicitly positions itself as an inclusive employer. UK and Australian investors in particular will flag this gap, as pay equity disclosure is now standard practice in those markets.</w:t>
      </w:r>
    </w:p>
    <w:p>
      <w:pPr>
        <w:spacing w:after="0" w:before="80"/>
      </w:pPr>
      <w:r>
        <w:t xml:space="preserve"/>
      </w:r>
    </w:p>
    <w:p>
      <w:pPr>
        <w:pStyle w:val="Heading2"/>
        <w:spacing w:after="100" w:before="240"/>
      </w:pPr>
      <w:r>
        <w:rPr>
          <w:rFonts w:ascii="Arial" w:cs="Arial" w:eastAsia="Arial" w:hAnsi="Arial"/>
          <w:b/>
          <w:bCs/>
          <w:color w:val="1A6B3C"/>
          <w:sz w:val="26"/>
          <w:szCs w:val="26"/>
        </w:rPr>
        <w:t xml:space="preserve">Gap 3 — Water Withdrawal Absolute Data Lacks Comparability</w:t>
      </w:r>
    </w:p>
    <w:p>
      <w:pPr>
        <w:spacing w:after="80" w:before="60"/>
      </w:pPr>
      <w:r>
        <w:rPr>
          <w:rFonts w:ascii="Arial" w:cs="Arial" w:eastAsia="Arial" w:hAnsi="Arial"/>
          <w:color w:val="1C2833"/>
          <w:sz w:val="22"/>
          <w:szCs w:val="22"/>
        </w:rPr>
        <w:t xml:space="preserve">Infosys acknowledges operating in water-stressed zones and outlines a comprehensive 3R (Reduce, Reuse, Recycle) water strategy including rainwater harvesting across 18.5 lakh sq. ft. of roof area and lake rejuvenation projects. However, the absolute water withdrawal figures in the BRSR are not consistently presented with prior-year comparisons, making trend analysis difficult.</w:t>
      </w:r>
    </w:p>
    <w:p>
      <w:pPr>
        <w:spacing w:after="0" w:before="60"/>
      </w:pPr>
      <w:r>
        <w:t xml:space="preserve"/>
      </w:r>
    </w:p>
    <w:p>
      <w:pPr>
        <w:spacing w:after="80" w:before="60"/>
      </w:pPr>
      <w:r>
        <w:rPr>
          <w:rFonts w:ascii="Arial" w:cs="Arial" w:eastAsia="Arial" w:hAnsi="Arial"/>
          <w:color w:val="1C2833"/>
          <w:sz w:val="22"/>
          <w:szCs w:val="22"/>
        </w:rPr>
        <w:t xml:space="preserve">GRI 303 (Water and Effluents) requires disclosure of total water withdrawal by source with year-on-year comparison. Without this, it is not possible to independently verify whether water intensity is genuinely improving or whether conservation claims reflect actual reduction in consumption.</w:t>
      </w:r>
    </w:p>
    <w:p>
      <w:pPr>
        <w:spacing w:after="0" w:before="80"/>
      </w:pPr>
      <w:r>
        <w:t xml:space="preserve"/>
      </w:r>
    </w:p>
    <w:p>
      <w:pPr>
        <w:pStyle w:val="Heading2"/>
        <w:spacing w:after="100" w:before="240"/>
      </w:pPr>
      <w:r>
        <w:rPr>
          <w:rFonts w:ascii="Arial" w:cs="Arial" w:eastAsia="Arial" w:hAnsi="Arial"/>
          <w:b/>
          <w:bCs/>
          <w:color w:val="1A6B3C"/>
          <w:sz w:val="26"/>
          <w:szCs w:val="26"/>
        </w:rPr>
        <w:t xml:space="preserve">Gap 4 — Employee Attrition Root Cause Analysis Missing</w:t>
      </w:r>
    </w:p>
    <w:p>
      <w:pPr>
        <w:spacing w:after="80" w:before="60"/>
      </w:pPr>
      <w:r>
        <w:rPr>
          <w:rFonts w:ascii="Arial" w:cs="Arial" w:eastAsia="Arial" w:hAnsi="Arial"/>
          <w:color w:val="1C2833"/>
          <w:sz w:val="22"/>
          <w:szCs w:val="22"/>
        </w:rPr>
        <w:t xml:space="preserve">Infosys, like most large Indian IT companies, experienced elevated attrition rates in the post-pandemic period. The BRSR discloses attrition figures but does not provide a root cause analysis or a structured response strategy tied to measurable retention targets.</w:t>
      </w:r>
    </w:p>
    <w:p>
      <w:pPr>
        <w:spacing w:after="0" w:before="60"/>
      </w:pPr>
      <w:r>
        <w:t xml:space="preserve"/>
      </w:r>
    </w:p>
    <w:p>
      <w:pPr>
        <w:spacing w:after="80" w:before="60"/>
      </w:pPr>
      <w:r>
        <w:rPr>
          <w:rFonts w:ascii="Arial" w:cs="Arial" w:eastAsia="Arial" w:hAnsi="Arial"/>
          <w:color w:val="1C2833"/>
          <w:sz w:val="22"/>
          <w:szCs w:val="22"/>
        </w:rPr>
        <w:t xml:space="preserve">Under GRI 401 (Employment) and BRSR Principle 3, companies should disclose not only attrition rates but the causes and mitigation measures. For a human capital-intensive business like Infosys, employee retention is a material ESG risk directly linked to financial performance. The current disclosure is insufficient for an investor conducting ESG-integrated financial analysis.</w:t>
      </w:r>
    </w:p>
    <w:p>
      <w:pPr>
        <w:spacing w:after="0" w:before="120"/>
      </w:pPr>
      <w:r>
        <w:t xml:space="preserve"/>
      </w:r>
    </w:p>
    <w:p>
      <w:pPr>
        <w:pStyle w:val="Heading1"/>
        <w:pBdr>
          <w:bottom w:val="single" w:color="1A6B3C" w:sz="8" w:space="4"/>
        </w:pBdr>
        <w:spacing w:after="120" w:before="320"/>
      </w:pPr>
      <w:r>
        <w:rPr>
          <w:rFonts w:ascii="Arial" w:cs="Arial" w:eastAsia="Arial" w:hAnsi="Arial"/>
          <w:b/>
          <w:bCs/>
          <w:color w:val="0D4A28"/>
          <w:sz w:val="32"/>
          <w:szCs w:val="32"/>
        </w:rPr>
        <w:t xml:space="preserve">Greenwashing Risk Assessment</w:t>
      </w:r>
    </w:p>
    <w:p>
      <w:pPr>
        <w:spacing w:after="80" w:before="60"/>
      </w:pPr>
      <w:r>
        <w:rPr>
          <w:rFonts w:ascii="Arial" w:cs="Arial" w:eastAsia="Arial" w:hAnsi="Arial"/>
          <w:color w:val="1C2833"/>
          <w:sz w:val="22"/>
          <w:szCs w:val="22"/>
        </w:rPr>
        <w:t xml:space="preserve">Greenwashing occurs when ESG claims are overstated, lack verification, or create a misleading impression of performance. The following three areas in Infosys's BRSR carry greenwashing risk and should be scrutinised carefully.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Risk Area</w:t>
            </w:r>
          </w:p>
        </w:tc>
        <w:tc>
          <w:tcPr>
            <w:tcW w:type="dxa" w:w="31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The Claim</w:t>
            </w:r>
          </w:p>
        </w:tc>
        <w:tc>
          <w:tcPr>
            <w:tcW w:type="dxa" w:w="31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Why It Warrants Scrutiny</w:t>
            </w:r>
          </w:p>
        </w:tc>
      </w:tr>
      <w:tr>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1C2833"/>
                <w:sz w:val="20"/>
                <w:szCs w:val="20"/>
              </w:rPr>
              <w:t xml:space="preserve">Carbon Offset Reliance</w:t>
            </w:r>
          </w:p>
        </w:tc>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1C2833"/>
                <w:sz w:val="20"/>
                <w:szCs w:val="20"/>
              </w:rPr>
              <w:t xml:space="preserve">Carbon neutrality achieved across Scope 1, 2 and relevant Scope 3</w:t>
            </w:r>
          </w:p>
        </w:tc>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1C2833"/>
                <w:sz w:val="20"/>
                <w:szCs w:val="20"/>
              </w:rPr>
              <w:t xml:space="preserve">Neutrality is partially achieved through carbon offsets. The ratio of genuine emission reductions vs offset purchases is not transparently disclosed. Under emerging ISSB and IFRS S2 standards, offset-dependent neutrality claims face increasing regulatory challenge.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Scope 3 Boundary Selection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Carbon neutrality includes relevant Scope 3 emissions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definition of relevant Scope 3 categories is self-selected. Full GHG Protocol Scope 3 includes 15 categories. The categories included and excluded by Infosys are not clearly listed, making independent verification of the neutrality perimeter difficult.</w:t>
            </w:r>
          </w:p>
        </w:tc>
      </w:tr>
      <w:tr>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1C2833"/>
                <w:sz w:val="20"/>
                <w:szCs w:val="20"/>
              </w:rPr>
              <w:t xml:space="preserve">Agroforestry Climate Positivity</w:t>
            </w:r>
          </w:p>
        </w:tc>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1C2833"/>
                <w:sz w:val="20"/>
                <w:szCs w:val="20"/>
              </w:rPr>
              <w:t xml:space="preserve">Working towards climate positivity through agroforestry projects</w:t>
            </w:r>
          </w:p>
        </w:tc>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1C2833"/>
                <w:sz w:val="20"/>
                <w:szCs w:val="20"/>
              </w:rPr>
              <w:t xml:space="preserve">Agroforestry carbon sequestration projects are subject to significant permanence and additionality risks. The BRSR does not quantify expected sequestration volumes, project standards used, or verification methodology — making it impossible to assess whether the climate positivity target is credible.</w:t>
            </w:r>
          </w:p>
        </w:tc>
      </w:tr>
    </w:tbl>
    <w:p>
      <w:pPr>
        <w:spacing w:after="0" w:before="120"/>
      </w:pPr>
      <w:r>
        <w:t xml:space="preserve"/>
      </w:r>
    </w:p>
    <w:p>
      <w:pPr>
        <w:pStyle w:val="Heading1"/>
        <w:pBdr>
          <w:bottom w:val="single" w:color="1A6B3C" w:sz="8" w:space="4"/>
        </w:pBdr>
        <w:spacing w:after="120" w:before="320"/>
      </w:pPr>
      <w:r>
        <w:rPr>
          <w:rFonts w:ascii="Arial" w:cs="Arial" w:eastAsia="Arial" w:hAnsi="Arial"/>
          <w:b/>
          <w:bCs/>
          <w:color w:val="0D4A28"/>
          <w:sz w:val="32"/>
          <w:szCs w:val="32"/>
        </w:rPr>
        <w:t xml:space="preserve">Strategic Recommendations</w:t>
      </w:r>
    </w:p>
    <w:p>
      <w:pPr>
        <w:spacing w:after="80" w:before="60"/>
      </w:pPr>
      <w:r>
        <w:rPr>
          <w:rFonts w:ascii="Arial" w:cs="Arial" w:eastAsia="Arial" w:hAnsi="Arial"/>
          <w:color w:val="1C2833"/>
          <w:sz w:val="22"/>
          <w:szCs w:val="22"/>
        </w:rPr>
        <w:t xml:space="preserve">The following five recommendations would materially strengthen Infosys's BRSR disclosure and close the gaps identified in this analysis.</w:t>
      </w:r>
    </w:p>
    <w:p>
      <w:pPr>
        <w:spacing w:after="0" w:before="80"/>
      </w:pPr>
      <w:r>
        <w:t xml:space="preserve"/>
      </w:r>
    </w:p>
    <w:p>
      <w:pPr>
        <w:pStyle w:val="ListParagraph"/>
        <w:numPr>
          <w:ilvl w:val="0"/>
          <w:numId w:val="2"/>
        </w:numPr>
        <w:spacing w:after="40" w:before="40"/>
      </w:pPr>
      <w:r>
        <w:rPr>
          <w:rFonts w:ascii="Arial" w:cs="Arial" w:eastAsia="Arial" w:hAnsi="Arial"/>
          <w:b/>
          <w:bCs/>
          <w:color w:val="1C2833"/>
          <w:sz w:val="22"/>
          <w:szCs w:val="22"/>
        </w:rPr>
        <w:t xml:space="preserve">Recommendation 1 — Disclose offset vs. reduction split: </w:t>
      </w:r>
      <w:r>
        <w:rPr>
          <w:rFonts w:ascii="Arial" w:cs="Arial" w:eastAsia="Arial" w:hAnsi="Arial"/>
          <w:color w:val="1C2833"/>
          <w:sz w:val="22"/>
          <w:szCs w:val="22"/>
        </w:rPr>
        <w:t xml:space="preserve"/>
      </w:r>
    </w:p>
    <w:p>
      <w:pPr>
        <w:pStyle w:val="ListParagraph"/>
        <w:numPr>
          <w:ilvl w:val="0"/>
          <w:numId w:val="2"/>
        </w:numPr>
        <w:spacing w:after="40" w:before="0"/>
      </w:pPr>
      <w:r>
        <w:rPr>
          <w:rFonts w:ascii="Arial" w:cs="Arial" w:eastAsia="Arial" w:hAnsi="Arial"/>
          <w:color w:val="1C2833"/>
          <w:sz w:val="22"/>
          <w:szCs w:val="22"/>
        </w:rPr>
        <w:t xml:space="preserve">Publish a clear breakdown of carbon neutrality showing what percentage is achieved through genuine emission reductions (energy efficiency, renewables) versus purchased offsets. This is now expected under IFRS S2 and ISSB standards.</w:t>
      </w:r>
    </w:p>
    <w:p>
      <w:pPr>
        <w:spacing w:after="0" w:before="40"/>
      </w:pPr>
      <w:r>
        <w:t xml:space="preserve"/>
      </w:r>
    </w:p>
    <w:p>
      <w:pPr>
        <w:pStyle w:val="ListParagraph"/>
        <w:numPr>
          <w:ilvl w:val="0"/>
          <w:numId w:val="2"/>
        </w:numPr>
        <w:spacing w:after="40" w:before="40"/>
      </w:pPr>
      <w:r>
        <w:rPr>
          <w:rFonts w:ascii="Arial" w:cs="Arial" w:eastAsia="Arial" w:hAnsi="Arial"/>
          <w:b/>
          <w:bCs/>
          <w:color w:val="1C2833"/>
          <w:sz w:val="22"/>
          <w:szCs w:val="22"/>
        </w:rPr>
        <w:t xml:space="preserve">Recommendation 2 — Publish gender pay equity ratio: </w:t>
      </w:r>
      <w:r>
        <w:rPr>
          <w:rFonts w:ascii="Arial" w:cs="Arial" w:eastAsia="Arial" w:hAnsi="Arial"/>
          <w:color w:val="1C2833"/>
          <w:sz w:val="22"/>
          <w:szCs w:val="22"/>
        </w:rPr>
        <w:t xml:space="preserve"/>
      </w:r>
    </w:p>
    <w:p>
      <w:pPr>
        <w:pStyle w:val="ListParagraph"/>
        <w:numPr>
          <w:ilvl w:val="0"/>
          <w:numId w:val="2"/>
        </w:numPr>
        <w:spacing w:after="40" w:before="0"/>
      </w:pPr>
      <w:r>
        <w:rPr>
          <w:rFonts w:ascii="Arial" w:cs="Arial" w:eastAsia="Arial" w:hAnsi="Arial"/>
          <w:color w:val="1C2833"/>
          <w:sz w:val="22"/>
          <w:szCs w:val="22"/>
        </w:rPr>
        <w:t xml:space="preserve">Add median pay ratio by gender and employee category to the BRSR. This closes a BRSR Core gap and aligns Infosys with UK and Australian disclosure standards relevant to its international investor base.</w:t>
      </w:r>
    </w:p>
    <w:p>
      <w:pPr>
        <w:spacing w:after="0" w:before="40"/>
      </w:pPr>
      <w:r>
        <w:t xml:space="preserve"/>
      </w:r>
    </w:p>
    <w:p>
      <w:pPr>
        <w:pStyle w:val="ListParagraph"/>
        <w:numPr>
          <w:ilvl w:val="0"/>
          <w:numId w:val="2"/>
        </w:numPr>
        <w:spacing w:after="40" w:before="40"/>
      </w:pPr>
      <w:r>
        <w:rPr>
          <w:rFonts w:ascii="Arial" w:cs="Arial" w:eastAsia="Arial" w:hAnsi="Arial"/>
          <w:b/>
          <w:bCs/>
          <w:color w:val="1C2833"/>
          <w:sz w:val="22"/>
          <w:szCs w:val="22"/>
        </w:rPr>
        <w:t xml:space="preserve">Recommendation 3 — Expand Scope 3 supplier coverage: </w:t>
      </w:r>
      <w:r>
        <w:rPr>
          <w:rFonts w:ascii="Arial" w:cs="Arial" w:eastAsia="Arial" w:hAnsi="Arial"/>
          <w:color w:val="1C2833"/>
          <w:sz w:val="22"/>
          <w:szCs w:val="22"/>
        </w:rPr>
        <w:t xml:space="preserve"/>
      </w:r>
    </w:p>
    <w:p>
      <w:pPr>
        <w:pStyle w:val="ListParagraph"/>
        <w:numPr>
          <w:ilvl w:val="0"/>
          <w:numId w:val="2"/>
        </w:numPr>
        <w:spacing w:after="40" w:before="0"/>
      </w:pPr>
      <w:r>
        <w:rPr>
          <w:rFonts w:ascii="Arial" w:cs="Arial" w:eastAsia="Arial" w:hAnsi="Arial"/>
          <w:color w:val="1C2833"/>
          <w:sz w:val="22"/>
          <w:szCs w:val="22"/>
        </w:rPr>
        <w:t xml:space="preserve">Set a target to extend ESG screening to at least 80% of spend-weighted suppliers by FY2026. Disclose total supplier count, percentage assessed, and key findings. This is increasingly mandatory under BRSR Value Chain Reporting requirements.</w:t>
      </w:r>
    </w:p>
    <w:p>
      <w:pPr>
        <w:spacing w:after="0" w:before="40"/>
      </w:pPr>
      <w:r>
        <w:t xml:space="preserve"/>
      </w:r>
    </w:p>
    <w:p>
      <w:pPr>
        <w:pStyle w:val="ListParagraph"/>
        <w:numPr>
          <w:ilvl w:val="0"/>
          <w:numId w:val="2"/>
        </w:numPr>
        <w:spacing w:after="40" w:before="40"/>
      </w:pPr>
      <w:r>
        <w:rPr>
          <w:rFonts w:ascii="Arial" w:cs="Arial" w:eastAsia="Arial" w:hAnsi="Arial"/>
          <w:b/>
          <w:bCs/>
          <w:color w:val="1C2833"/>
          <w:sz w:val="22"/>
          <w:szCs w:val="22"/>
        </w:rPr>
        <w:t xml:space="preserve">Recommendation 4 — Clarify Scope 3 boundary: </w:t>
      </w:r>
      <w:r>
        <w:rPr>
          <w:rFonts w:ascii="Arial" w:cs="Arial" w:eastAsia="Arial" w:hAnsi="Arial"/>
          <w:color w:val="1C2833"/>
          <w:sz w:val="22"/>
          <w:szCs w:val="22"/>
        </w:rPr>
        <w:t xml:space="preserve"/>
      </w:r>
    </w:p>
    <w:p>
      <w:pPr>
        <w:pStyle w:val="ListParagraph"/>
        <w:numPr>
          <w:ilvl w:val="0"/>
          <w:numId w:val="2"/>
        </w:numPr>
        <w:spacing w:after="40" w:before="0"/>
      </w:pPr>
      <w:r>
        <w:rPr>
          <w:rFonts w:ascii="Arial" w:cs="Arial" w:eastAsia="Arial" w:hAnsi="Arial"/>
          <w:color w:val="1C2833"/>
          <w:sz w:val="22"/>
          <w:szCs w:val="22"/>
        </w:rPr>
        <w:t xml:space="preserve">Publish a full GHG Protocol Scope 3 category inventory disclosing which of the 15 categories are included in the neutrality perimeter and why. Categories excluded should be explained with materiality rationale.</w:t>
      </w:r>
    </w:p>
    <w:p>
      <w:pPr>
        <w:spacing w:after="0" w:before="40"/>
      </w:pPr>
      <w:r>
        <w:t xml:space="preserve"/>
      </w:r>
    </w:p>
    <w:p>
      <w:pPr>
        <w:pStyle w:val="ListParagraph"/>
        <w:numPr>
          <w:ilvl w:val="0"/>
          <w:numId w:val="2"/>
        </w:numPr>
        <w:spacing w:after="40" w:before="40"/>
      </w:pPr>
      <w:r>
        <w:rPr>
          <w:rFonts w:ascii="Arial" w:cs="Arial" w:eastAsia="Arial" w:hAnsi="Arial"/>
          <w:b/>
          <w:bCs/>
          <w:color w:val="1C2833"/>
          <w:sz w:val="22"/>
          <w:szCs w:val="22"/>
        </w:rPr>
        <w:t xml:space="preserve">Recommendation 5 — Add attrition root cause analysis: </w:t>
      </w:r>
      <w:r>
        <w:rPr>
          <w:rFonts w:ascii="Arial" w:cs="Arial" w:eastAsia="Arial" w:hAnsi="Arial"/>
          <w:color w:val="1C2833"/>
          <w:sz w:val="22"/>
          <w:szCs w:val="22"/>
        </w:rPr>
        <w:t xml:space="preserve"/>
      </w:r>
    </w:p>
    <w:p>
      <w:pPr>
        <w:pStyle w:val="ListParagraph"/>
        <w:numPr>
          <w:ilvl w:val="0"/>
          <w:numId w:val="2"/>
        </w:numPr>
        <w:spacing w:after="40" w:before="0"/>
      </w:pPr>
      <w:r>
        <w:rPr>
          <w:rFonts w:ascii="Arial" w:cs="Arial" w:eastAsia="Arial" w:hAnsi="Arial"/>
          <w:color w:val="1C2833"/>
          <w:sz w:val="22"/>
          <w:szCs w:val="22"/>
        </w:rPr>
        <w:t xml:space="preserve">Supplement attrition rate disclosure with structured analysis of causes and measurable retention targets. For a human capital-intensive business, this is a material ESG risk factor that institutional investors require for ESG-integrated financial analysis.</w:t>
      </w:r>
    </w:p>
    <w:p>
      <w:pPr>
        <w:spacing w:after="0" w:before="120"/>
      </w:pPr>
      <w:r>
        <w:t xml:space="preserve"/>
      </w:r>
    </w:p>
    <w:p>
      <w:pPr>
        <w:pStyle w:val="Heading1"/>
        <w:pBdr>
          <w:bottom w:val="single" w:color="1A6B3C" w:sz="8" w:space="4"/>
        </w:pBdr>
        <w:spacing w:after="120" w:before="320"/>
      </w:pPr>
      <w:r>
        <w:rPr>
          <w:rFonts w:ascii="Arial" w:cs="Arial" w:eastAsia="Arial" w:hAnsi="Arial"/>
          <w:b/>
          <w:bCs/>
          <w:color w:val="0D4A28"/>
          <w:sz w:val="32"/>
          <w:szCs w:val="32"/>
        </w:rPr>
        <w:t xml:space="preserve">Conclusion</w:t>
      </w:r>
    </w:p>
    <w:p>
      <w:pPr>
        <w:spacing w:after="80" w:before="60"/>
      </w:pPr>
      <w:r>
        <w:rPr>
          <w:rFonts w:ascii="Arial" w:cs="Arial" w:eastAsia="Arial" w:hAnsi="Arial"/>
          <w:color w:val="1C2833"/>
          <w:sz w:val="22"/>
          <w:szCs w:val="22"/>
        </w:rPr>
        <w:t xml:space="preserve">Infosys is unambiguously among the top tier of ESG reporters in India. Its carbon neutrality achievement, independent assurance, DJSI inclusion, and ESG Vision 2030 targets represent genuine progress that should be acknowledged. However, ESG disclosure at this level invites closer scrutiny — and that scrutiny reveals real gaps in supply chain transparency, pay equity, water data comparability, and carbon offset methodology.</w:t>
      </w:r>
    </w:p>
    <w:p>
      <w:pPr>
        <w:spacing w:after="0" w:before="80"/>
      </w:pPr>
      <w:r>
        <w:t xml:space="preserve"/>
      </w:r>
    </w:p>
    <w:p>
      <w:pPr>
        <w:spacing w:after="80" w:before="60"/>
      </w:pPr>
      <w:r>
        <w:rPr>
          <w:rFonts w:ascii="Arial" w:cs="Arial" w:eastAsia="Arial" w:hAnsi="Arial"/>
          <w:color w:val="1C2833"/>
          <w:sz w:val="22"/>
          <w:szCs w:val="22"/>
        </w:rPr>
        <w:t xml:space="preserve">The greenwashing risks identified are not evidence of deliberate misrepresentation. They reflect the broader challenge facing companies at the frontier of ESG disclosure: as frameworks tighten (IFRS S2, BRSR Value Chain, ISSB), claims that were acceptable two years ago now require greater substantiation.</w:t>
      </w:r>
    </w:p>
    <w:p>
      <w:pPr>
        <w:spacing w:after="0" w:before="80"/>
      </w:pPr>
      <w:r>
        <w:t xml:space="preserve"/>
      </w:r>
    </w:p>
    <w:p>
      <w:pPr>
        <w:spacing w:after="80" w:before="60"/>
      </w:pPr>
      <w:r>
        <w:rPr>
          <w:rFonts w:ascii="Arial" w:cs="Arial" w:eastAsia="Arial" w:hAnsi="Arial"/>
          <w:color w:val="1C2833"/>
          <w:sz w:val="22"/>
          <w:szCs w:val="22"/>
        </w:rPr>
        <w:t xml:space="preserve">For ESG analysts, auditors, and investors, Infosys's BRSR is a valuable document — but it should be read critically, with the gaps and risks in this analysis in mind.</w:t>
      </w:r>
    </w:p>
    <w:p>
      <w:pPr>
        <w:spacing w:after="0" w:before="120"/>
      </w:pPr>
      <w:r>
        <w:t xml:space="preserve"/>
      </w:r>
    </w:p>
    <w:p>
      <w:pPr>
        <w:pStyle w:val="Heading1"/>
        <w:pBdr>
          <w:bottom w:val="single" w:color="1A6B3C" w:sz="8" w:space="4"/>
        </w:pBdr>
        <w:spacing w:after="120" w:before="320"/>
      </w:pPr>
      <w:r>
        <w:rPr>
          <w:rFonts w:ascii="Arial" w:cs="Arial" w:eastAsia="Arial" w:hAnsi="Arial"/>
          <w:b/>
          <w:bCs/>
          <w:color w:val="0D4A28"/>
          <w:sz w:val="32"/>
          <w:szCs w:val="32"/>
        </w:rPr>
        <w:t xml:space="preserve">Frameworks and Standards Referenced</w:t>
      </w:r>
    </w:p>
    <w:p>
      <w:pPr>
        <w:pStyle w:val="ListParagraph"/>
        <w:numPr>
          <w:ilvl w:val="0"/>
          <w:numId w:val="2"/>
        </w:numPr>
        <w:spacing w:after="40" w:before="40"/>
      </w:pPr>
      <w:r>
        <w:rPr>
          <w:rFonts w:ascii="Arial" w:cs="Arial" w:eastAsia="Arial" w:hAnsi="Arial"/>
          <w:color w:val="1C2833"/>
          <w:sz w:val="22"/>
          <w:szCs w:val="22"/>
        </w:rPr>
        <w:t xml:space="preserve">GRI 303 — Water and Effluents</w:t>
      </w:r>
    </w:p>
    <w:p>
      <w:pPr>
        <w:pStyle w:val="ListParagraph"/>
        <w:numPr>
          <w:ilvl w:val="0"/>
          <w:numId w:val="2"/>
        </w:numPr>
        <w:spacing w:after="40" w:before="40"/>
      </w:pPr>
      <w:r>
        <w:rPr>
          <w:rFonts w:ascii="Arial" w:cs="Arial" w:eastAsia="Arial" w:hAnsi="Arial"/>
          <w:color w:val="1C2833"/>
          <w:sz w:val="22"/>
          <w:szCs w:val="22"/>
        </w:rPr>
        <w:t xml:space="preserve">GRI 305 — Emissions (Scope 1, 2, 3)</w:t>
      </w:r>
    </w:p>
    <w:p>
      <w:pPr>
        <w:pStyle w:val="ListParagraph"/>
        <w:numPr>
          <w:ilvl w:val="0"/>
          <w:numId w:val="2"/>
        </w:numPr>
        <w:spacing w:after="40" w:before="40"/>
      </w:pPr>
      <w:r>
        <w:rPr>
          <w:rFonts w:ascii="Arial" w:cs="Arial" w:eastAsia="Arial" w:hAnsi="Arial"/>
          <w:color w:val="1C2833"/>
          <w:sz w:val="22"/>
          <w:szCs w:val="22"/>
        </w:rPr>
        <w:t xml:space="preserve">GRI 308 — Supplier Environmental Assessment</w:t>
      </w:r>
    </w:p>
    <w:p>
      <w:pPr>
        <w:pStyle w:val="ListParagraph"/>
        <w:numPr>
          <w:ilvl w:val="0"/>
          <w:numId w:val="2"/>
        </w:numPr>
        <w:spacing w:after="40" w:before="40"/>
      </w:pPr>
      <w:r>
        <w:rPr>
          <w:rFonts w:ascii="Arial" w:cs="Arial" w:eastAsia="Arial" w:hAnsi="Arial"/>
          <w:color w:val="1C2833"/>
          <w:sz w:val="22"/>
          <w:szCs w:val="22"/>
        </w:rPr>
        <w:t xml:space="preserve">GRI 401 — Employment</w:t>
      </w:r>
    </w:p>
    <w:p>
      <w:pPr>
        <w:pStyle w:val="ListParagraph"/>
        <w:numPr>
          <w:ilvl w:val="0"/>
          <w:numId w:val="2"/>
        </w:numPr>
        <w:spacing w:after="40" w:before="40"/>
      </w:pPr>
      <w:r>
        <w:rPr>
          <w:rFonts w:ascii="Arial" w:cs="Arial" w:eastAsia="Arial" w:hAnsi="Arial"/>
          <w:color w:val="1C2833"/>
          <w:sz w:val="22"/>
          <w:szCs w:val="22"/>
        </w:rPr>
        <w:t xml:space="preserve">GRI 414 — Supplier Social Assessment</w:t>
      </w:r>
    </w:p>
    <w:p>
      <w:pPr>
        <w:pStyle w:val="ListParagraph"/>
        <w:numPr>
          <w:ilvl w:val="0"/>
          <w:numId w:val="2"/>
        </w:numPr>
        <w:spacing w:after="40" w:before="40"/>
      </w:pPr>
      <w:r>
        <w:rPr>
          <w:rFonts w:ascii="Arial" w:cs="Arial" w:eastAsia="Arial" w:hAnsi="Arial"/>
          <w:color w:val="1C2833"/>
          <w:sz w:val="22"/>
          <w:szCs w:val="22"/>
        </w:rPr>
        <w:t xml:space="preserve">TCFD — Task Force on Climate-related Financial Disclosures</w:t>
      </w:r>
    </w:p>
    <w:p>
      <w:pPr>
        <w:pStyle w:val="ListParagraph"/>
        <w:numPr>
          <w:ilvl w:val="0"/>
          <w:numId w:val="2"/>
        </w:numPr>
        <w:spacing w:after="40" w:before="40"/>
      </w:pPr>
      <w:r>
        <w:rPr>
          <w:rFonts w:ascii="Arial" w:cs="Arial" w:eastAsia="Arial" w:hAnsi="Arial"/>
          <w:color w:val="1C2833"/>
          <w:sz w:val="22"/>
          <w:szCs w:val="22"/>
        </w:rPr>
        <w:t xml:space="preserve">SEBI BRSR (Business Responsibility and Sustainability Reporting) — Regulation 34(2)(f)</w:t>
      </w:r>
    </w:p>
    <w:p>
      <w:pPr>
        <w:pStyle w:val="ListParagraph"/>
        <w:numPr>
          <w:ilvl w:val="0"/>
          <w:numId w:val="2"/>
        </w:numPr>
        <w:spacing w:after="40" w:before="40"/>
      </w:pPr>
      <w:r>
        <w:rPr>
          <w:rFonts w:ascii="Arial" w:cs="Arial" w:eastAsia="Arial" w:hAnsi="Arial"/>
          <w:color w:val="1C2833"/>
          <w:sz w:val="22"/>
          <w:szCs w:val="22"/>
        </w:rPr>
        <w:t xml:space="preserve">SEBI BRSR Core — Reasonable Assurance Requirements</w:t>
      </w:r>
    </w:p>
    <w:p>
      <w:pPr>
        <w:pStyle w:val="ListParagraph"/>
        <w:numPr>
          <w:ilvl w:val="0"/>
          <w:numId w:val="2"/>
        </w:numPr>
        <w:spacing w:after="40" w:before="40"/>
      </w:pPr>
      <w:r>
        <w:rPr>
          <w:rFonts w:ascii="Arial" w:cs="Arial" w:eastAsia="Arial" w:hAnsi="Arial"/>
          <w:color w:val="1C2833"/>
          <w:sz w:val="22"/>
          <w:szCs w:val="22"/>
        </w:rPr>
        <w:t xml:space="preserve">IFRS S1 / S2 — ISSB Sustainability Disclosure Standards</w:t>
      </w:r>
    </w:p>
    <w:p>
      <w:pPr>
        <w:pStyle w:val="ListParagraph"/>
        <w:numPr>
          <w:ilvl w:val="0"/>
          <w:numId w:val="2"/>
        </w:numPr>
        <w:spacing w:after="40" w:before="40"/>
      </w:pPr>
      <w:r>
        <w:rPr>
          <w:rFonts w:ascii="Arial" w:cs="Arial" w:eastAsia="Arial" w:hAnsi="Arial"/>
          <w:color w:val="1C2833"/>
          <w:sz w:val="22"/>
          <w:szCs w:val="22"/>
        </w:rPr>
        <w:t xml:space="preserve">GHG Protocol — Corporate Standard (Scope 1, 2, 3)</w:t>
      </w:r>
    </w:p>
    <w:p>
      <w:pPr>
        <w:pStyle w:val="ListParagraph"/>
        <w:numPr>
          <w:ilvl w:val="0"/>
          <w:numId w:val="2"/>
        </w:numPr>
        <w:spacing w:after="40" w:before="40"/>
      </w:pPr>
      <w:r>
        <w:rPr>
          <w:rFonts w:ascii="Arial" w:cs="Arial" w:eastAsia="Arial" w:hAnsi="Arial"/>
          <w:color w:val="1C2833"/>
          <w:sz w:val="22"/>
          <w:szCs w:val="22"/>
        </w:rPr>
        <w:t xml:space="preserve">ISO 14068-1 — Carbon Neutrality Standard</w:t>
      </w:r>
    </w:p>
    <w:p>
      <w:pPr>
        <w:spacing w:after="0" w:before="120"/>
      </w:pPr>
      <w:r>
        <w:t xml:space="preserve"/>
      </w:r>
    </w:p>
    <w:p>
      <w:pPr>
        <w:pStyle w:val="Heading1"/>
        <w:pBdr>
          <w:bottom w:val="single" w:color="1A6B3C" w:sz="8" w:space="4"/>
        </w:pBdr>
        <w:spacing w:after="120" w:before="320"/>
      </w:pPr>
      <w:r>
        <w:rPr>
          <w:rFonts w:ascii="Arial" w:cs="Arial" w:eastAsia="Arial" w:hAnsi="Arial"/>
          <w:b/>
          <w:bCs/>
          <w:color w:val="0D4A28"/>
          <w:sz w:val="32"/>
          <w:szCs w:val="32"/>
        </w:rPr>
        <w:t xml:space="preserve">About the Author</w:t>
      </w:r>
    </w:p>
    <w:p>
      <w:pPr>
        <w:spacing w:after="80" w:before="60"/>
      </w:pPr>
      <w:r>
        <w:rPr>
          <w:rFonts w:ascii="Arial" w:cs="Arial" w:eastAsia="Arial" w:hAnsi="Arial"/>
          <w:color w:val="1C2833"/>
          <w:sz w:val="22"/>
          <w:szCs w:val="22"/>
        </w:rPr>
        <w:t xml:space="preserve">This ESG gap analysis was prepared by Esha Varyani as an independent portfolio project demonstrating applied ESG analytical skills.</w:t>
      </w:r>
    </w:p>
    <w:p>
      <w:pPr>
        <w:spacing w:after="0" w:before="60"/>
      </w:pPr>
      <w:r>
        <w:t xml:space="preserve"/>
      </w:r>
    </w:p>
    <w:p>
      <w:pPr>
        <w:pStyle w:val="ListParagraph"/>
        <w:numPr>
          <w:ilvl w:val="0"/>
          <w:numId w:val="2"/>
        </w:numPr>
        <w:spacing w:after="40" w:before="40"/>
      </w:pPr>
      <w:r>
        <w:rPr>
          <w:rFonts w:ascii="Arial" w:cs="Arial" w:eastAsia="Arial" w:hAnsi="Arial"/>
          <w:color w:val="1C2833"/>
          <w:sz w:val="22"/>
          <w:szCs w:val="22"/>
        </w:rPr>
        <w:t xml:space="preserve">MSc Fintech &amp; Business Analytics — University of Westminster, London (2023–2024)</w:t>
      </w:r>
    </w:p>
    <w:p>
      <w:pPr>
        <w:pStyle w:val="ListParagraph"/>
        <w:numPr>
          <w:ilvl w:val="0"/>
          <w:numId w:val="2"/>
        </w:numPr>
        <w:spacing w:after="40" w:before="40"/>
      </w:pPr>
      <w:r>
        <w:rPr>
          <w:rFonts w:ascii="Arial" w:cs="Arial" w:eastAsia="Arial" w:hAnsi="Arial"/>
          <w:color w:val="1C2833"/>
          <w:sz w:val="22"/>
          <w:szCs w:val="22"/>
        </w:rPr>
        <w:t xml:space="preserve">BBA Finance — specialisation in financial analysis and audit</w:t>
      </w:r>
    </w:p>
    <w:p>
      <w:pPr>
        <w:pStyle w:val="ListParagraph"/>
        <w:numPr>
          <w:ilvl w:val="0"/>
          <w:numId w:val="2"/>
        </w:numPr>
        <w:spacing w:after="40" w:before="40"/>
      </w:pPr>
      <w:r>
        <w:rPr>
          <w:rFonts w:ascii="Arial" w:cs="Arial" w:eastAsia="Arial" w:hAnsi="Arial"/>
          <w:color w:val="1C2833"/>
          <w:sz w:val="22"/>
          <w:szCs w:val="22"/>
        </w:rPr>
        <w:t xml:space="preserve">Dissertation: Predictive Analytics in Digital Payment Security</w:t>
      </w:r>
    </w:p>
    <w:p>
      <w:pPr>
        <w:pStyle w:val="ListParagraph"/>
        <w:numPr>
          <w:ilvl w:val="0"/>
          <w:numId w:val="2"/>
        </w:numPr>
        <w:spacing w:after="40" w:before="40"/>
      </w:pPr>
      <w:r>
        <w:rPr>
          <w:rFonts w:ascii="Arial" w:cs="Arial" w:eastAsia="Arial" w:hAnsi="Arial"/>
          <w:color w:val="1C2833"/>
          <w:sz w:val="22"/>
          <w:szCs w:val="22"/>
        </w:rPr>
        <w:t xml:space="preserve">Targeting ESG analyst, client success, and financial analysis roles in UK, UAE, Australia, and New Zealand</w:t>
      </w:r>
    </w:p>
    <w:p>
      <w:pPr>
        <w:spacing w:after="0" w:before="80"/>
      </w:pPr>
      <w:r>
        <w:t xml:space="preserve"/>
      </w:r>
    </w:p>
    <w:p>
      <w:pPr>
        <w:spacing w:after="80" w:before="60"/>
      </w:pPr>
      <w:r>
        <w:rPr>
          <w:rFonts w:ascii="Arial" w:cs="Arial" w:eastAsia="Arial" w:hAnsi="Arial"/>
          <w:color w:val="1C2833"/>
          <w:sz w:val="22"/>
          <w:szCs w:val="22"/>
        </w:rPr>
        <w:t xml:space="preserve">Data sources: Infosys Integrated Annual Report 2023–24, Infosys ESG Report 2023–24, Infosys BRSR 2023–24 (all publicly available at infosys.com)</w:t>
      </w:r>
    </w:p>
    <w:p>
      <w:pPr>
        <w:spacing w:after="0" w:before="60"/>
      </w:pPr>
      <w:r>
        <w:t xml:space="preserve"/>
      </w:r>
    </w:p>
    <w:p>
      <w:pPr>
        <w:spacing w:after="80" w:before="60"/>
      </w:pPr>
      <w:r>
        <w:rPr>
          <w:rFonts w:ascii="Arial" w:cs="Arial" w:eastAsia="Arial" w:hAnsi="Arial"/>
          <w:color w:val="1A6B3C"/>
          <w:sz w:val="22"/>
          <w:szCs w:val="22"/>
        </w:rPr>
        <w:t xml:space="preserve">GitHub: github.com/esha2727  |  LinkedIn: linkedin.com/in/esha-varyani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4"/>
      </w:pBdr>
      <w:spacing w:before="80"/>
    </w:pPr>
    <w:r>
      <w:rPr>
        <w:rFonts w:ascii="Arial" w:cs="Arial" w:eastAsia="Arial" w:hAnsi="Arial"/>
        <w:color w:val="888888"/>
        <w:sz w:val="18"/>
        <w:szCs w:val="18"/>
      </w:rPr>
      <w:t xml:space="preserve">Esha Varyani  |  Infosys BRSR ESG Gap Analysis  |  2026  |  MSc Fintech &amp; Business Analytics, University of Westminster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D4A28"/>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6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2026-05-19T17:20:46.278Z</dcterms:created>
  <dcterms:modified xsi:type="dcterms:W3CDTF">2026-05-19T17:20:46.289Z</dcterms:modified>
</cp:coreProperties>
</file>

<file path=docProps/custom.xml><?xml version="1.0" encoding="utf-8"?>
<Properties xmlns="http://schemas.openxmlformats.org/officeDocument/2006/custom-properties" xmlns:vt="http://schemas.openxmlformats.org/officeDocument/2006/docPropsVTypes"/>
</file>