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5D5F4C" w:rsidRDefault="00000000" w14:paraId="23E6C22C" w14:textId="77777777">
      <w:pPr>
        <w:pBdr>
          <w:bottom w:val="single" w:color="B8962E" w:sz="4" w:space="6"/>
        </w:pBdr>
        <w:spacing w:before="360" w:after="120" w:line="240" w:lineRule="auto"/>
        <w:rPr>
          <w:sz w:val="20"/>
          <w:szCs w:val="20"/>
        </w:rPr>
      </w:pPr>
      <w:r>
        <w:rPr>
          <w:b/>
          <w:bCs/>
          <w:smallCaps/>
          <w:color w:val="1B2A4A"/>
          <w:sz w:val="26"/>
          <w:szCs w:val="26"/>
        </w:rPr>
        <w:t>CASE STUDY</w:t>
      </w:r>
    </w:p>
    <w:p w:rsidR="005D5F4C" w:rsidRDefault="00000000" w14:paraId="66B3E9B9" w14:textId="7700642B">
      <w:pPr>
        <w:spacing w:after="140" w:line="240" w:lineRule="auto"/>
        <w:rPr>
          <w:rFonts w:ascii="Calibri" w:hAnsi="Calibri" w:eastAsia="Calibri" w:cs="Calibri"/>
        </w:rPr>
      </w:pPr>
      <w:r w:rsidRPr="05E3AA27" w:rsidR="278A8106">
        <w:rPr>
          <w:rFonts w:ascii="Calibri" w:hAnsi="Calibri" w:eastAsia="Calibri" w:cs="Calibri"/>
          <w:color w:val="1A1A1A"/>
        </w:rPr>
        <w:t xml:space="preserve">The case study is the centerpiece of the analyst program. Each analyst selects one of the two prompts below, underwrites the deal or portfolio, and presents an investment thesis to the GTRE Alumni Board at the end of the semester. Both prompts are set in </w:t>
      </w:r>
      <w:r w:rsidRPr="05E3AA27" w:rsidR="53960DF3">
        <w:rPr>
          <w:rFonts w:ascii="Calibri" w:hAnsi="Calibri" w:eastAsia="Calibri" w:cs="Calibri"/>
          <w:b w:val="1"/>
          <w:bCs w:val="1"/>
          <w:color w:val="1A1A1A"/>
          <w:highlight w:val="yellow"/>
        </w:rPr>
        <w:t>Georgia</w:t>
      </w:r>
      <w:r w:rsidRPr="05E3AA27" w:rsidR="278A8106">
        <w:rPr>
          <w:rFonts w:ascii="Calibri" w:hAnsi="Calibri" w:eastAsia="Calibri" w:cs="Calibri"/>
          <w:color w:val="1A1A1A"/>
          <w:highlight w:val="yellow"/>
        </w:rPr>
        <w:t>.</w:t>
      </w:r>
      <w:r w:rsidRPr="05E3AA27" w:rsidR="278A8106">
        <w:rPr>
          <w:rFonts w:ascii="Calibri" w:hAnsi="Calibri" w:eastAsia="Calibri" w:cs="Calibri"/>
          <w:color w:val="1A1A1A"/>
        </w:rPr>
        <w:t xml:space="preserve"> Real estate is inherently local, and we want to see how you think in your own backyard: a submarket you can drive to, walk, and know firsthand.</w:t>
      </w:r>
    </w:p>
    <w:p w:rsidR="005D5F4C" w:rsidRDefault="00000000" w14:paraId="1F1A52F3" w14:textId="77777777">
      <w:pPr>
        <w:spacing w:after="140" w:line="240" w:lineRule="auto"/>
        <w:rPr>
          <w:rFonts w:ascii="Calibri" w:hAnsi="Calibri" w:eastAsia="Calibri" w:cs="Calibri"/>
        </w:rPr>
      </w:pPr>
      <w:r>
        <w:rPr>
          <w:rFonts w:ascii="Calibri" w:hAnsi="Calibri" w:eastAsia="Calibri" w:cs="Calibri"/>
          <w:color w:val="1A1A1A"/>
        </w:rPr>
        <w:t xml:space="preserve">Financial models for every product type are provided in the </w:t>
      </w:r>
      <w:r>
        <w:rPr>
          <w:rFonts w:ascii="Calibri" w:hAnsi="Calibri" w:eastAsia="Calibri" w:cs="Calibri"/>
          <w:b/>
          <w:bCs/>
          <w:color w:val="1A1A1A"/>
        </w:rPr>
        <w:t>Case Study Resources</w:t>
      </w:r>
      <w:r>
        <w:rPr>
          <w:rFonts w:ascii="Calibri" w:hAnsi="Calibri" w:eastAsia="Calibri" w:cs="Calibri"/>
          <w:color w:val="1A1A1A"/>
        </w:rPr>
        <w:t xml:space="preserve"> section of the GTRE website. Use them.</w:t>
      </w:r>
    </w:p>
    <w:p w:rsidR="005D5F4C" w:rsidRDefault="005D5F4C" w14:paraId="4FECE79A" w14:textId="77777777">
      <w:pPr>
        <w:pStyle w:val="Heading1"/>
        <w:keepNext w:val="0"/>
        <w:keepLines w:val="0"/>
        <w:spacing w:before="300" w:line="240" w:lineRule="auto"/>
        <w:rPr>
          <w:rFonts w:ascii="Georgia" w:hAnsi="Georgia" w:eastAsia="Georgia" w:cs="Georgia"/>
          <w:color w:val="002A4E"/>
          <w:sz w:val="30"/>
          <w:szCs w:val="30"/>
        </w:rPr>
      </w:pPr>
    </w:p>
    <w:p w:rsidR="005D5F4C" w:rsidRDefault="00000000" w14:paraId="4E7DE90B" w14:textId="77777777">
      <w:pPr>
        <w:pStyle w:val="Heading1"/>
        <w:keepNext w:val="0"/>
        <w:keepLines w:val="0"/>
        <w:spacing w:before="300" w:line="240" w:lineRule="auto"/>
        <w:rPr>
          <w:rFonts w:ascii="Calibri" w:hAnsi="Calibri" w:eastAsia="Calibri" w:cs="Calibri"/>
          <w:b w:val="0"/>
          <w:bCs w:val="0"/>
          <w:color w:val="2E74B5"/>
          <w:sz w:val="32"/>
          <w:szCs w:val="32"/>
        </w:rPr>
      </w:pPr>
      <w:r>
        <w:rPr>
          <w:rFonts w:ascii="Georgia" w:hAnsi="Georgia" w:eastAsia="Georgia" w:cs="Georgia"/>
          <w:color w:val="002A4E"/>
          <w:sz w:val="30"/>
          <w:szCs w:val="30"/>
        </w:rPr>
        <w:t xml:space="preserve">Prompt 1: Development or Value-Add </w:t>
      </w:r>
    </w:p>
    <w:p w:rsidR="005D5F4C" w:rsidRDefault="00000000" w14:paraId="4F622CA1" w14:textId="7B545AD5">
      <w:pPr>
        <w:spacing w:after="140" w:line="240" w:lineRule="auto"/>
        <w:rPr>
          <w:rFonts w:ascii="Calibri" w:hAnsi="Calibri" w:eastAsia="Calibri" w:cs="Calibri"/>
        </w:rPr>
      </w:pPr>
      <w:r w:rsidRPr="78349314" w:rsidR="13A5F014">
        <w:rPr>
          <w:rFonts w:ascii="Calibri" w:hAnsi="Calibri" w:eastAsia="Calibri" w:cs="Calibri"/>
          <w:color w:val="1A1A1A"/>
        </w:rPr>
        <w:t xml:space="preserve">You are an analyst at a developer or value-add operator evaluating a single opportunity in </w:t>
      </w:r>
      <w:r w:rsidRPr="78349314" w:rsidR="27520F3E">
        <w:rPr>
          <w:rFonts w:ascii="Calibri" w:hAnsi="Calibri" w:eastAsia="Calibri" w:cs="Calibri"/>
          <w:color w:val="1A1A1A"/>
        </w:rPr>
        <w:t>Georgi</w:t>
      </w:r>
      <w:r w:rsidRPr="78349314" w:rsidR="13A5F014">
        <w:rPr>
          <w:rFonts w:ascii="Calibri" w:hAnsi="Calibri" w:eastAsia="Calibri" w:cs="Calibri"/>
          <w:color w:val="1A1A1A"/>
        </w:rPr>
        <w:t>a. You select the submarket, the site or asset, and the deal structure. Ground-up development and value-add development are both valid paths. Choose the one that produces the most compelling investment thesis and that you can underwrite most rigorously.</w:t>
      </w:r>
    </w:p>
    <w:p w:rsidR="005D5F4C" w:rsidRDefault="00000000" w14:paraId="0456E9F8" w14:textId="77777777">
      <w:pPr>
        <w:spacing w:after="140" w:line="240" w:lineRule="auto"/>
        <w:rPr>
          <w:rFonts w:ascii="Calibri" w:hAnsi="Calibri" w:eastAsia="Calibri" w:cs="Calibri"/>
        </w:rPr>
      </w:pPr>
      <w:r>
        <w:rPr>
          <w:rFonts w:ascii="Calibri" w:hAnsi="Calibri" w:eastAsia="Calibri" w:cs="Calibri"/>
          <w:b/>
          <w:bCs/>
          <w:color w:val="1A1A1A"/>
        </w:rPr>
        <w:t>Your specific submarket and investment idea must be approved by GTRE Exec prior to underwriting. Submit the google form on the website with your initial idea.</w:t>
      </w:r>
    </w:p>
    <w:p w:rsidR="005D5F4C" w:rsidRDefault="00000000" w14:paraId="155A7B87" w14:textId="77777777">
      <w:pPr>
        <w:spacing w:before="160" w:after="100" w:line="240" w:lineRule="auto"/>
        <w:rPr>
          <w:rFonts w:ascii="Calibri" w:hAnsi="Calibri" w:eastAsia="Calibri" w:cs="Calibri"/>
        </w:rPr>
      </w:pPr>
      <w:r>
        <w:rPr>
          <w:rFonts w:ascii="Calibri" w:hAnsi="Calibri" w:eastAsia="Calibri" w:cs="Calibri"/>
          <w:b/>
          <w:bCs/>
          <w:color w:val="002A4E"/>
        </w:rPr>
        <w:t>Allowed Product Types</w:t>
      </w:r>
    </w:p>
    <w:p w:rsidR="005D5F4C" w:rsidRDefault="00000000" w14:paraId="4B41B8DE"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b/>
          <w:bCs/>
          <w:color w:val="1A1A1A"/>
        </w:rPr>
        <w:t xml:space="preserve">Open to all analysts: </w:t>
      </w:r>
      <w:r>
        <w:rPr>
          <w:rFonts w:ascii="Calibri" w:hAnsi="Calibri" w:eastAsia="Calibri" w:cs="Calibri"/>
          <w:color w:val="1A1A1A"/>
        </w:rPr>
        <w:t>Multifamily (including student housing) and Industrial (warehouse, distribution, logistics).</w:t>
      </w:r>
    </w:p>
    <w:p w:rsidR="005D5F4C" w:rsidRDefault="00000000" w14:paraId="335DF9C9"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b/>
          <w:bCs/>
          <w:color w:val="1A1A1A"/>
        </w:rPr>
        <w:t xml:space="preserve">Approval required: </w:t>
      </w:r>
      <w:r>
        <w:rPr>
          <w:rFonts w:ascii="Calibri" w:hAnsi="Calibri" w:eastAsia="Calibri" w:cs="Calibri"/>
          <w:color w:val="1A1A1A"/>
        </w:rPr>
        <w:t>Mixed-Use and Retail. Pitch your concept to GTRE exec before committing.</w:t>
      </w:r>
    </w:p>
    <w:p w:rsidR="005D5F4C" w:rsidRDefault="00000000" w14:paraId="37446564"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b/>
          <w:bCs/>
          <w:color w:val="1A1A1A"/>
        </w:rPr>
        <w:t xml:space="preserve">Approval required, high bar: </w:t>
      </w:r>
      <w:r>
        <w:rPr>
          <w:rFonts w:ascii="Calibri" w:hAnsi="Calibri" w:eastAsia="Calibri" w:cs="Calibri"/>
          <w:color w:val="1A1A1A"/>
        </w:rPr>
        <w:t>Office and Hotel. See the note below.</w:t>
      </w:r>
    </w:p>
    <w:p w:rsidR="005D5F4C" w:rsidRDefault="00000000" w14:paraId="55F29135" w14:textId="77777777">
      <w:pPr>
        <w:spacing w:before="160" w:after="100" w:line="240" w:lineRule="auto"/>
        <w:rPr>
          <w:rFonts w:ascii="Calibri" w:hAnsi="Calibri" w:eastAsia="Calibri" w:cs="Calibri"/>
        </w:rPr>
      </w:pPr>
      <w:r>
        <w:rPr>
          <w:rFonts w:ascii="Calibri" w:hAnsi="Calibri" w:eastAsia="Calibri" w:cs="Calibri"/>
          <w:b/>
          <w:bCs/>
          <w:color w:val="002A4E"/>
        </w:rPr>
        <w:t>A Note on Office and Hotel</w:t>
      </w:r>
    </w:p>
    <w:p w:rsidR="005D5F4C" w:rsidRDefault="00000000" w14:paraId="55B97CF6" w14:textId="77777777">
      <w:pPr>
        <w:spacing w:after="140" w:line="240" w:lineRule="auto"/>
        <w:rPr>
          <w:rFonts w:ascii="Calibri" w:hAnsi="Calibri" w:eastAsia="Calibri" w:cs="Calibri"/>
        </w:rPr>
      </w:pPr>
      <w:r w:rsidRPr="05E3AA27" w:rsidR="278A8106">
        <w:rPr>
          <w:rFonts w:ascii="Calibri" w:hAnsi="Calibri" w:eastAsia="Calibri" w:cs="Calibri"/>
          <w:color w:val="1A1A1A"/>
        </w:rPr>
        <w:t>Product types are limited to what is realistically financeable at the time of presentation. New office development is extremely difficult to pencil in today's market: elevated construction costs, constrained lending, and weak speculative leasing demand make ground-up office a challenging thesis in most submarkets, and hotel deals face similarly selective capital. Most active players in these sectors are pursuing value-add and repositioning plays for exactly this reason. If you want to pursue office or hotel, you must make an explicit, well-supported case for why the capital markets would fund your deal. Do not simply assume it.</w:t>
      </w:r>
    </w:p>
    <w:p w:rsidR="050B89AC" w:rsidP="05E3AA27" w:rsidRDefault="050B89AC" w14:paraId="47341F05" w14:textId="0EEE4AF2">
      <w:pPr>
        <w:pStyle w:val="Normal"/>
        <w:suppressLineNumbers w:val="0"/>
        <w:bidi w:val="0"/>
        <w:spacing w:before="160" w:beforeAutospacing="off" w:after="100" w:afterAutospacing="off" w:line="240" w:lineRule="auto"/>
        <w:ind w:left="0" w:right="0"/>
        <w:jc w:val="left"/>
        <w:rPr>
          <w:rFonts w:ascii="Calibri" w:hAnsi="Calibri" w:eastAsia="Calibri" w:cs="Calibri"/>
          <w:b w:val="1"/>
          <w:bCs w:val="1"/>
          <w:color w:val="002A4E"/>
          <w:sz w:val="36"/>
          <w:szCs w:val="36"/>
        </w:rPr>
      </w:pPr>
      <w:r w:rsidRPr="05E3AA27" w:rsidR="050B89AC">
        <w:rPr>
          <w:rFonts w:ascii="Calibri" w:hAnsi="Calibri" w:eastAsia="Calibri" w:cs="Calibri"/>
          <w:b w:val="1"/>
          <w:bCs w:val="1"/>
          <w:color w:val="002A4E"/>
          <w:sz w:val="32"/>
          <w:szCs w:val="32"/>
        </w:rPr>
        <w:t>Requirements</w:t>
      </w:r>
    </w:p>
    <w:p w:rsidR="005D5F4C" w:rsidRDefault="00000000" w14:paraId="23E6729D"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A development pro forma with land/acquisition cost, hard and soft costs, a construction loan sized to a stated LTC, a lease-up schedule, stabilization, and exit (model in case study resources page)</w:t>
      </w:r>
    </w:p>
    <w:p w:rsidR="005D5F4C" w:rsidRDefault="00000000" w14:paraId="5AC7B13F" w14:textId="77777777">
      <w:pPr>
        <w:numPr>
          <w:ilvl w:val="0"/>
          <w:numId w:val="1"/>
        </w:numPr>
        <w:spacing w:after="80" w:line="240" w:lineRule="auto"/>
        <w:ind w:left="504" w:hanging="288"/>
        <w:rPr>
          <w:rFonts w:ascii="Calibri" w:hAnsi="Calibri" w:eastAsia="Calibri" w:cs="Calibri"/>
          <w:color w:val="1A1A1A"/>
        </w:rPr>
      </w:pPr>
      <w:r w:rsidRPr="05E3AA27" w:rsidR="278A8106">
        <w:rPr>
          <w:rFonts w:ascii="Calibri" w:hAnsi="Calibri" w:eastAsia="Calibri" w:cs="Calibri"/>
          <w:color w:val="1A1A1A"/>
        </w:rPr>
        <w:t>An executive summary summarizing your investment thesis and returns (example in case study resources page)</w:t>
      </w:r>
    </w:p>
    <w:p w:rsidR="638DF014" w:rsidP="05E3AA27" w:rsidRDefault="638DF014" w14:paraId="45E36607" w14:textId="2BA55E6E">
      <w:pPr>
        <w:numPr>
          <w:ilvl w:val="0"/>
          <w:numId w:val="1"/>
        </w:numPr>
        <w:spacing w:after="80" w:line="240" w:lineRule="auto"/>
        <w:ind w:left="504" w:hanging="288"/>
        <w:rPr>
          <w:rFonts w:ascii="Calibri" w:hAnsi="Calibri" w:eastAsia="Calibri" w:cs="Calibri"/>
          <w:color w:val="1A1A1A"/>
        </w:rPr>
      </w:pPr>
      <w:r w:rsidRPr="05E3AA27" w:rsidR="638DF014">
        <w:rPr>
          <w:rFonts w:ascii="Calibri" w:hAnsi="Calibri" w:eastAsia="Calibri" w:cs="Calibri"/>
          <w:color w:val="1A1A1A"/>
        </w:rPr>
        <w:t xml:space="preserve">A picture of you at the chosen site, and an explanation of how walking the site built your </w:t>
      </w:r>
      <w:r w:rsidRPr="05E3AA27" w:rsidR="638DF014">
        <w:rPr>
          <w:rFonts w:ascii="Calibri" w:hAnsi="Calibri" w:eastAsia="Calibri" w:cs="Calibri"/>
          <w:color w:val="1A1A1A"/>
        </w:rPr>
        <w:t>perception</w:t>
      </w:r>
      <w:r w:rsidRPr="05E3AA27" w:rsidR="638DF014">
        <w:rPr>
          <w:rFonts w:ascii="Calibri" w:hAnsi="Calibri" w:eastAsia="Calibri" w:cs="Calibri"/>
          <w:color w:val="1A1A1A"/>
        </w:rPr>
        <w:t xml:space="preserve"> of the products value</w:t>
      </w:r>
    </w:p>
    <w:p w:rsidR="005D5F4C" w:rsidRDefault="00000000" w14:paraId="39E7B147"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A submarket selection and demand argument: why this submarket, why now, and what drives your rent growth or absorption assumptions.</w:t>
      </w:r>
    </w:p>
    <w:p w:rsidR="005D5F4C" w:rsidRDefault="00000000" w14:paraId="0888C025"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Comparable rent and sale transactions to support your underwriting.</w:t>
      </w:r>
    </w:p>
    <w:p w:rsidR="005D5F4C" w:rsidRDefault="00000000" w14:paraId="01400CA2"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lastRenderedPageBreak/>
        <w:t>A sensitivity table in your model on your key drivers (exit cap rate, interest rate, or yield-on-cost vs. market cap rate spread).</w:t>
      </w:r>
    </w:p>
    <w:p w:rsidR="005D5F4C" w:rsidRDefault="00000000" w14:paraId="11315761" w14:textId="77777777">
      <w:pPr>
        <w:numPr>
          <w:ilvl w:val="0"/>
          <w:numId w:val="1"/>
        </w:numPr>
        <w:spacing w:after="80" w:line="240" w:lineRule="auto"/>
        <w:ind w:left="504" w:hanging="288"/>
        <w:rPr>
          <w:rFonts w:ascii="Calibri" w:hAnsi="Calibri" w:eastAsia="Calibri" w:cs="Calibri"/>
        </w:rPr>
      </w:pPr>
      <w:proofErr w:type="spellStart"/>
      <w:r>
        <w:rPr>
          <w:rFonts w:ascii="Calibri" w:hAnsi="Calibri" w:eastAsia="Calibri" w:cs="Calibri"/>
          <w:color w:val="1A1A1A"/>
        </w:rPr>
        <w:t>Untrended</w:t>
      </w:r>
      <w:proofErr w:type="spellEnd"/>
      <w:r>
        <w:rPr>
          <w:rFonts w:ascii="Calibri" w:hAnsi="Calibri" w:eastAsia="Calibri" w:cs="Calibri"/>
          <w:color w:val="1A1A1A"/>
        </w:rPr>
        <w:t xml:space="preserve"> and trended returns: yield-on-cost and development spread if ground-up, levered IRR and equity multiple in all cases (in model)</w:t>
      </w:r>
    </w:p>
    <w:p w:rsidR="005D5F4C" w:rsidRDefault="00000000" w14:paraId="2CF1E461" w14:textId="77777777">
      <w:pPr>
        <w:pStyle w:val="Heading1"/>
        <w:keepNext w:val="0"/>
        <w:keepLines w:val="0"/>
        <w:spacing w:before="300" w:line="240" w:lineRule="auto"/>
        <w:rPr>
          <w:rFonts w:ascii="Calibri" w:hAnsi="Calibri" w:eastAsia="Calibri" w:cs="Calibri"/>
          <w:b w:val="0"/>
          <w:bCs w:val="0"/>
          <w:color w:val="2E74B5"/>
          <w:sz w:val="32"/>
          <w:szCs w:val="32"/>
        </w:rPr>
      </w:pPr>
      <w:r>
        <w:rPr>
          <w:rFonts w:ascii="Georgia" w:hAnsi="Georgia" w:eastAsia="Georgia" w:cs="Georgia"/>
          <w:color w:val="002A4E"/>
          <w:sz w:val="30"/>
          <w:szCs w:val="30"/>
        </w:rPr>
        <w:t>Prompt 2: Asset Management Portfolio</w:t>
      </w:r>
    </w:p>
    <w:p w:rsidR="005D5F4C" w:rsidRDefault="00000000" w14:paraId="56D32ECC" w14:textId="77777777">
      <w:pPr>
        <w:spacing w:after="140" w:line="240" w:lineRule="auto"/>
        <w:rPr>
          <w:rFonts w:ascii="Calibri" w:hAnsi="Calibri" w:eastAsia="Calibri" w:cs="Calibri"/>
        </w:rPr>
      </w:pPr>
      <w:r>
        <w:rPr>
          <w:rFonts w:ascii="Calibri" w:hAnsi="Calibri" w:eastAsia="Calibri" w:cs="Calibri"/>
          <w:color w:val="1A1A1A"/>
        </w:rPr>
        <w:t>You are an investment associate at a private family office. A high-net-worth investor wants to build their first direct commercial real estate portfolio by acquiring three existing, cash-flowing assets in Metro Atlanta. No development and no heavy repositioning: the investor wants core to core-plus properties they can acquire, manage through the hold period, and sell. Your job is to select the three acquisitions, underwrite each one, and present a portfolio that meets the return target.</w:t>
      </w:r>
    </w:p>
    <w:p w:rsidR="005D5F4C" w:rsidRDefault="00000000" w14:paraId="7EB72A39" w14:textId="77777777">
      <w:pPr>
        <w:spacing w:before="160" w:after="100" w:line="240" w:lineRule="auto"/>
        <w:rPr>
          <w:rFonts w:ascii="Calibri" w:hAnsi="Calibri" w:eastAsia="Calibri" w:cs="Calibri"/>
        </w:rPr>
      </w:pPr>
      <w:r>
        <w:rPr>
          <w:rFonts w:ascii="Calibri" w:hAnsi="Calibri" w:eastAsia="Calibri" w:cs="Calibri"/>
          <w:b/>
          <w:bCs/>
          <w:color w:val="002A4E"/>
        </w:rPr>
        <w:t>Underwriting Targets</w:t>
      </w:r>
    </w:p>
    <w:p w:rsidR="005D5F4C" w:rsidRDefault="00000000" w14:paraId="53DBDAB2"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b/>
          <w:bCs/>
          <w:color w:val="1A1A1A"/>
        </w:rPr>
        <w:t xml:space="preserve">Minimum blended levered IRR of 12% </w:t>
      </w:r>
      <w:r>
        <w:rPr>
          <w:rFonts w:ascii="Calibri" w:hAnsi="Calibri" w:eastAsia="Calibri" w:cs="Calibri"/>
          <w:color w:val="1A1A1A"/>
        </w:rPr>
        <w:t>across the portfolio. Individual deals may fall below this threshold, but if one does, you must defend its role in the portfolio, whether that is income stability, lower volatility, or diversification through the hold.</w:t>
      </w:r>
    </w:p>
    <w:p w:rsidR="005D5F4C" w:rsidRDefault="00000000" w14:paraId="3461C099" w14:textId="77777777">
      <w:pPr>
        <w:numPr>
          <w:ilvl w:val="0"/>
          <w:numId w:val="1"/>
        </w:numPr>
        <w:spacing w:after="80" w:line="240" w:lineRule="auto"/>
        <w:ind w:left="504" w:hanging="288"/>
        <w:rPr>
          <w:rFonts w:ascii="Calibri" w:hAnsi="Calibri" w:eastAsia="Calibri" w:cs="Calibri"/>
        </w:rPr>
      </w:pPr>
      <w:r w:rsidRPr="05E3AA27" w:rsidR="278A8106">
        <w:rPr>
          <w:rFonts w:ascii="Calibri" w:hAnsi="Calibri" w:eastAsia="Calibri" w:cs="Calibri"/>
          <w:b w:val="1"/>
          <w:bCs w:val="1"/>
          <w:color w:val="1A1A1A"/>
        </w:rPr>
        <w:t>No two assets may be the same product type.</w:t>
      </w:r>
    </w:p>
    <w:p w:rsidR="5D20AC2D" w:rsidP="05E3AA27" w:rsidRDefault="5D20AC2D" w14:paraId="33D66846" w14:textId="53958FCD">
      <w:pPr>
        <w:pStyle w:val="Normal"/>
        <w:suppressLineNumbers w:val="0"/>
        <w:bidi w:val="0"/>
        <w:spacing w:before="160" w:beforeAutospacing="off" w:after="100" w:afterAutospacing="off" w:line="240" w:lineRule="auto"/>
        <w:ind w:left="0" w:right="0"/>
        <w:jc w:val="left"/>
        <w:rPr>
          <w:rFonts w:ascii="Calibri" w:hAnsi="Calibri" w:eastAsia="Calibri" w:cs="Calibri"/>
          <w:b w:val="1"/>
          <w:bCs w:val="1"/>
          <w:color w:val="002A4E"/>
          <w:sz w:val="36"/>
          <w:szCs w:val="36"/>
        </w:rPr>
      </w:pPr>
      <w:r w:rsidRPr="05E3AA27" w:rsidR="5D20AC2D">
        <w:rPr>
          <w:rFonts w:ascii="Calibri" w:hAnsi="Calibri" w:eastAsia="Calibri" w:cs="Calibri"/>
          <w:b w:val="1"/>
          <w:bCs w:val="1"/>
          <w:color w:val="002A4E"/>
          <w:sz w:val="32"/>
          <w:szCs w:val="32"/>
        </w:rPr>
        <w:t>Requirements</w:t>
      </w:r>
    </w:p>
    <w:p w:rsidR="005D5F4C" w:rsidRDefault="00000000" w14:paraId="4EB9535A"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Three acquisition underwrites on existing, operating assets. Each model should include in-place cash flows, lease rollover assumptions, debt sizing, and a sale exit.</w:t>
      </w:r>
    </w:p>
    <w:p w:rsidR="005D5F4C" w:rsidRDefault="00000000" w14:paraId="36BF7405"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Each asset underwritten on its own tab, plus a portfolio summary tab that consolidates the levered equity cash flows from all three deals, period by period, and calculates the blended levered IRR from that combined stream. The blend is cash-flow weighted; it is not the average of the three deal IRRs.</w:t>
      </w:r>
    </w:p>
    <w:p w:rsidR="005D5F4C" w:rsidRDefault="00000000" w14:paraId="69D2B2DD"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A portfolio memo explaining why these three assets together: how they balance income, risk, and return across the hold.</w:t>
      </w:r>
    </w:p>
    <w:p w:rsidR="005D5F4C" w:rsidRDefault="00000000" w14:paraId="5324BA53" w14:textId="77777777">
      <w:pPr>
        <w:numPr>
          <w:ilvl w:val="0"/>
          <w:numId w:val="1"/>
        </w:numPr>
        <w:spacing w:after="80" w:line="240" w:lineRule="auto"/>
        <w:ind w:left="504" w:hanging="288"/>
        <w:rPr>
          <w:rFonts w:ascii="Calibri" w:hAnsi="Calibri" w:eastAsia="Calibri" w:cs="Calibri"/>
          <w:color w:val="1A1A1A"/>
        </w:rPr>
      </w:pPr>
      <w:r>
        <w:rPr>
          <w:rFonts w:ascii="Calibri" w:hAnsi="Calibri" w:eastAsia="Calibri" w:cs="Calibri"/>
          <w:color w:val="1A1A1A"/>
        </w:rPr>
        <w:t>An executive summary summarizing your investment thesis and the portfolio memo mentioned above (example in case study resources page)</w:t>
      </w:r>
    </w:p>
    <w:p w:rsidR="005D5F4C" w:rsidRDefault="005D5F4C" w14:paraId="430CED86" w14:textId="77777777">
      <w:pPr>
        <w:spacing w:after="80" w:line="240" w:lineRule="auto"/>
        <w:rPr>
          <w:rFonts w:ascii="Calibri" w:hAnsi="Calibri" w:eastAsia="Calibri" w:cs="Calibri"/>
        </w:rPr>
      </w:pPr>
    </w:p>
    <w:p w:rsidR="005D5F4C" w:rsidRDefault="00000000" w14:paraId="620112AE" w14:textId="7C4612BC">
      <w:pPr>
        <w:pStyle w:val="Heading1"/>
        <w:keepNext w:val="0"/>
        <w:keepLines w:val="0"/>
        <w:spacing w:before="300" w:line="240" w:lineRule="auto"/>
        <w:rPr>
          <w:rFonts w:ascii="Calibri" w:hAnsi="Calibri" w:eastAsia="Calibri" w:cs="Calibri"/>
          <w:b w:val="0"/>
          <w:bCs w:val="0"/>
          <w:color w:val="2E74B5"/>
          <w:sz w:val="32"/>
          <w:szCs w:val="32"/>
        </w:rPr>
      </w:pPr>
      <w:r w:rsidRPr="05E3AA27" w:rsidR="278A8106">
        <w:rPr>
          <w:rFonts w:ascii="Georgia" w:hAnsi="Georgia" w:eastAsia="Georgia" w:cs="Georgia"/>
          <w:color w:val="002A4E"/>
          <w:sz w:val="30"/>
          <w:szCs w:val="30"/>
        </w:rPr>
        <w:t xml:space="preserve">Requirements for </w:t>
      </w:r>
      <w:r w:rsidRPr="05E3AA27" w:rsidR="1FEAC25E">
        <w:rPr>
          <w:rFonts w:ascii="Georgia" w:hAnsi="Georgia" w:eastAsia="Georgia" w:cs="Georgia"/>
          <w:color w:val="002A4E"/>
          <w:sz w:val="30"/>
          <w:szCs w:val="30"/>
        </w:rPr>
        <w:t xml:space="preserve">both </w:t>
      </w:r>
      <w:r w:rsidRPr="05E3AA27" w:rsidR="278A8106">
        <w:rPr>
          <w:rFonts w:ascii="Georgia" w:hAnsi="Georgia" w:eastAsia="Georgia" w:cs="Georgia"/>
          <w:color w:val="002A4E"/>
          <w:sz w:val="30"/>
          <w:szCs w:val="30"/>
        </w:rPr>
        <w:t>Presentations</w:t>
      </w:r>
    </w:p>
    <w:p w:rsidR="005D5F4C" w:rsidRDefault="00000000" w14:paraId="5E3697B8"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Final deliverable is a presentation to the GTRE Alumni Board, with your model open and available for questions.</w:t>
      </w:r>
    </w:p>
    <w:p w:rsidR="005D5F4C" w:rsidRDefault="00000000" w14:paraId="6F674701"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Cover, at minimum: property or site overview, market and submarket context, model walkthrough, debt assumptions, and return analysis,</w:t>
      </w:r>
    </w:p>
    <w:p w:rsidR="005D5F4C" w:rsidRDefault="00000000" w14:paraId="681BF768" w14:textId="77777777">
      <w:pPr>
        <w:numPr>
          <w:ilvl w:val="0"/>
          <w:numId w:val="1"/>
        </w:numPr>
        <w:spacing w:after="80" w:line="240" w:lineRule="auto"/>
        <w:ind w:left="504" w:hanging="288"/>
        <w:rPr>
          <w:rFonts w:ascii="Calibri" w:hAnsi="Calibri" w:eastAsia="Calibri" w:cs="Calibri"/>
        </w:rPr>
      </w:pPr>
      <w:r>
        <w:rPr>
          <w:rFonts w:ascii="Calibri" w:hAnsi="Calibri" w:eastAsia="Calibri" w:cs="Calibri"/>
          <w:color w:val="1A1A1A"/>
        </w:rPr>
        <w:t>Use real data wherever possible: actual sites or assets, real comps, current rates. The board can tell when numbers are invented.</w:t>
      </w:r>
    </w:p>
    <w:p w:rsidR="005D5F4C" w:rsidRDefault="00000000" w14:paraId="13EF4F57" w14:textId="77777777">
      <w:pPr>
        <w:pStyle w:val="Heading1"/>
        <w:keepNext w:val="0"/>
        <w:keepLines w:val="0"/>
        <w:spacing w:before="300" w:line="240" w:lineRule="auto"/>
        <w:rPr>
          <w:rFonts w:ascii="Calibri" w:hAnsi="Calibri" w:eastAsia="Calibri" w:cs="Calibri"/>
          <w:b w:val="0"/>
          <w:bCs w:val="0"/>
          <w:color w:val="2E74B5"/>
          <w:sz w:val="32"/>
          <w:szCs w:val="32"/>
        </w:rPr>
      </w:pPr>
      <w:r>
        <w:rPr>
          <w:rFonts w:ascii="Georgia" w:hAnsi="Georgia" w:eastAsia="Georgia" w:cs="Georgia"/>
          <w:color w:val="002A4E"/>
          <w:sz w:val="30"/>
          <w:szCs w:val="30"/>
        </w:rPr>
        <w:t>Grading Rubric</w:t>
      </w:r>
    </w:p>
    <w:p w:rsidR="005D5F4C" w:rsidRDefault="00000000" w14:paraId="5EC36810" w14:textId="77777777">
      <w:pPr>
        <w:spacing w:after="140" w:line="240" w:lineRule="auto"/>
        <w:rPr>
          <w:rFonts w:ascii="Calibri" w:hAnsi="Calibri" w:eastAsia="Calibri" w:cs="Calibri"/>
        </w:rPr>
      </w:pPr>
      <w:r>
        <w:rPr>
          <w:rFonts w:ascii="Calibri" w:hAnsi="Calibri" w:eastAsia="Calibri" w:cs="Calibri"/>
          <w:color w:val="1A1A1A"/>
        </w:rPr>
        <w:t>One universal rubric applies to both prompts. Each category is scored 1 to 5 by the alumni board, for a total of 25 points.</w:t>
      </w:r>
    </w:p>
    <w:tbl>
      <w:tblPr>
        <w:tblStyle w:val="a"/>
        <w:tblW w:w="98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600"/>
        <w:gridCol w:w="6100"/>
        <w:gridCol w:w="1100"/>
      </w:tblGrid>
      <w:tr w:rsidR="005D5F4C" w:rsidTr="05E3AA27" w14:paraId="5FE13E6F" w14:textId="77777777">
        <w:trPr>
          <w:tblHeader/>
        </w:trPr>
        <w:tc>
          <w:tcPr>
            <w:tcW w:w="2600" w:type="dxa"/>
            <w:shd w:val="clear" w:color="auto" w:fill="002A4E"/>
            <w:tcMar>
              <w:top w:w="80" w:type="dxa"/>
              <w:left w:w="120" w:type="dxa"/>
              <w:bottom w:w="80" w:type="dxa"/>
              <w:right w:w="120" w:type="dxa"/>
            </w:tcMar>
          </w:tcPr>
          <w:p w:rsidR="005D5F4C" w:rsidRDefault="00000000" w14:paraId="097C1524" w14:textId="77777777">
            <w:pPr>
              <w:spacing w:line="240" w:lineRule="auto"/>
              <w:rPr>
                <w:rFonts w:ascii="Calibri" w:hAnsi="Calibri" w:eastAsia="Calibri" w:cs="Calibri"/>
              </w:rPr>
            </w:pPr>
            <w:r>
              <w:rPr>
                <w:rFonts w:ascii="Calibri" w:hAnsi="Calibri" w:eastAsia="Calibri" w:cs="Calibri"/>
                <w:b/>
                <w:bCs/>
                <w:color w:val="FFFFFF"/>
                <w:sz w:val="20"/>
                <w:szCs w:val="20"/>
              </w:rPr>
              <w:lastRenderedPageBreak/>
              <w:t>Category</w:t>
            </w:r>
          </w:p>
        </w:tc>
        <w:tc>
          <w:tcPr>
            <w:tcW w:w="6100" w:type="dxa"/>
            <w:shd w:val="clear" w:color="auto" w:fill="002A4E"/>
            <w:tcMar>
              <w:top w:w="80" w:type="dxa"/>
              <w:left w:w="120" w:type="dxa"/>
              <w:bottom w:w="80" w:type="dxa"/>
              <w:right w:w="120" w:type="dxa"/>
            </w:tcMar>
          </w:tcPr>
          <w:p w:rsidR="005D5F4C" w:rsidRDefault="00000000" w14:paraId="7843CC0F" w14:textId="77777777">
            <w:pPr>
              <w:spacing w:line="240" w:lineRule="auto"/>
              <w:rPr>
                <w:rFonts w:ascii="Calibri" w:hAnsi="Calibri" w:eastAsia="Calibri" w:cs="Calibri"/>
              </w:rPr>
            </w:pPr>
            <w:r>
              <w:rPr>
                <w:rFonts w:ascii="Calibri" w:hAnsi="Calibri" w:eastAsia="Calibri" w:cs="Calibri"/>
                <w:b/>
                <w:bCs/>
                <w:color w:val="FFFFFF"/>
                <w:sz w:val="20"/>
                <w:szCs w:val="20"/>
              </w:rPr>
              <w:t>What a Strong Presentation Looks Like</w:t>
            </w:r>
          </w:p>
        </w:tc>
        <w:tc>
          <w:tcPr>
            <w:tcW w:w="1100" w:type="dxa"/>
            <w:shd w:val="clear" w:color="auto" w:fill="002A4E"/>
            <w:tcMar>
              <w:top w:w="80" w:type="dxa"/>
              <w:left w:w="120" w:type="dxa"/>
              <w:bottom w:w="80" w:type="dxa"/>
              <w:right w:w="120" w:type="dxa"/>
            </w:tcMar>
          </w:tcPr>
          <w:p w:rsidR="005D5F4C" w:rsidRDefault="00000000" w14:paraId="5BF84E50" w14:textId="77777777">
            <w:pPr>
              <w:spacing w:line="240" w:lineRule="auto"/>
              <w:jc w:val="center"/>
              <w:rPr>
                <w:rFonts w:ascii="Calibri" w:hAnsi="Calibri" w:eastAsia="Calibri" w:cs="Calibri"/>
              </w:rPr>
            </w:pPr>
            <w:r>
              <w:rPr>
                <w:rFonts w:ascii="Calibri" w:hAnsi="Calibri" w:eastAsia="Calibri" w:cs="Calibri"/>
                <w:b/>
                <w:bCs/>
                <w:color w:val="FFFFFF"/>
                <w:sz w:val="20"/>
                <w:szCs w:val="20"/>
              </w:rPr>
              <w:t>Score</w:t>
            </w:r>
          </w:p>
        </w:tc>
      </w:tr>
      <w:tr w:rsidR="005D5F4C" w:rsidTr="05E3AA27" w14:paraId="479FC4A2" w14:textId="77777777">
        <w:tc>
          <w:tcPr>
            <w:tcW w:w="2600" w:type="dxa"/>
            <w:shd w:val="clear" w:color="auto" w:fill="F4F1E9"/>
            <w:tcMar>
              <w:top w:w="80" w:type="dxa"/>
              <w:left w:w="120" w:type="dxa"/>
              <w:bottom w:w="80" w:type="dxa"/>
              <w:right w:w="120" w:type="dxa"/>
            </w:tcMar>
          </w:tcPr>
          <w:p w:rsidR="005D5F4C" w:rsidRDefault="00000000" w14:paraId="5F250D53" w14:textId="77777777">
            <w:pPr>
              <w:spacing w:line="240" w:lineRule="auto"/>
              <w:rPr>
                <w:rFonts w:ascii="Calibri" w:hAnsi="Calibri" w:eastAsia="Calibri" w:cs="Calibri"/>
              </w:rPr>
            </w:pPr>
            <w:r>
              <w:rPr>
                <w:rFonts w:ascii="Calibri" w:hAnsi="Calibri" w:eastAsia="Calibri" w:cs="Calibri"/>
                <w:b/>
                <w:bCs/>
                <w:color w:val="1A1A1A"/>
                <w:sz w:val="20"/>
                <w:szCs w:val="20"/>
              </w:rPr>
              <w:t>Submarket Selection &amp; Market Thesis</w:t>
            </w:r>
          </w:p>
        </w:tc>
        <w:tc>
          <w:tcPr>
            <w:tcW w:w="6100" w:type="dxa"/>
            <w:shd w:val="clear" w:color="auto" w:fill="F4F1E9"/>
            <w:tcMar>
              <w:top w:w="80" w:type="dxa"/>
              <w:left w:w="120" w:type="dxa"/>
              <w:bottom w:w="80" w:type="dxa"/>
              <w:right w:w="120" w:type="dxa"/>
            </w:tcMar>
          </w:tcPr>
          <w:p w:rsidR="005D5F4C" w:rsidRDefault="00000000" w14:paraId="2B7D23A9" w14:textId="77777777">
            <w:pPr>
              <w:spacing w:line="240" w:lineRule="auto"/>
              <w:rPr>
                <w:rFonts w:ascii="Calibri" w:hAnsi="Calibri" w:eastAsia="Calibri" w:cs="Calibri"/>
              </w:rPr>
            </w:pPr>
            <w:r>
              <w:rPr>
                <w:rFonts w:ascii="Calibri" w:hAnsi="Calibri" w:eastAsia="Calibri" w:cs="Calibri"/>
                <w:color w:val="1A1A1A"/>
                <w:sz w:val="20"/>
                <w:szCs w:val="20"/>
              </w:rPr>
              <w:t>Clear rationale for the chosen submarket, supported by demand drivers, supply pipeline, and current market data. The "why here, why now" holds up under questioning.</w:t>
            </w:r>
          </w:p>
        </w:tc>
        <w:tc>
          <w:tcPr>
            <w:tcW w:w="1100" w:type="dxa"/>
            <w:shd w:val="clear" w:color="auto" w:fill="F4F1E9"/>
            <w:tcMar>
              <w:top w:w="80" w:type="dxa"/>
              <w:left w:w="120" w:type="dxa"/>
              <w:bottom w:w="80" w:type="dxa"/>
              <w:right w:w="120" w:type="dxa"/>
            </w:tcMar>
          </w:tcPr>
          <w:p w:rsidR="005D5F4C" w:rsidRDefault="00000000" w14:paraId="7ACDE38E" w14:textId="77777777">
            <w:pPr>
              <w:spacing w:line="240" w:lineRule="auto"/>
              <w:jc w:val="center"/>
              <w:rPr>
                <w:rFonts w:ascii="Calibri" w:hAnsi="Calibri" w:eastAsia="Calibri" w:cs="Calibri"/>
              </w:rPr>
            </w:pPr>
            <w:r>
              <w:rPr>
                <w:rFonts w:ascii="Calibri" w:hAnsi="Calibri" w:eastAsia="Calibri" w:cs="Calibri"/>
                <w:color w:val="1A1A1A"/>
                <w:sz w:val="20"/>
                <w:szCs w:val="20"/>
              </w:rPr>
              <w:t>/ 5</w:t>
            </w:r>
          </w:p>
        </w:tc>
      </w:tr>
      <w:tr w:rsidR="005D5F4C" w:rsidTr="05E3AA27" w14:paraId="16104699" w14:textId="77777777">
        <w:tc>
          <w:tcPr>
            <w:tcW w:w="2600" w:type="dxa"/>
            <w:tcMar>
              <w:top w:w="80" w:type="dxa"/>
              <w:left w:w="120" w:type="dxa"/>
              <w:bottom w:w="80" w:type="dxa"/>
              <w:right w:w="120" w:type="dxa"/>
            </w:tcMar>
          </w:tcPr>
          <w:p w:rsidR="005D5F4C" w:rsidRDefault="00000000" w14:paraId="5747530B" w14:textId="77777777">
            <w:pPr>
              <w:spacing w:line="240" w:lineRule="auto"/>
              <w:rPr>
                <w:rFonts w:ascii="Calibri" w:hAnsi="Calibri" w:eastAsia="Calibri" w:cs="Calibri"/>
              </w:rPr>
            </w:pPr>
            <w:r>
              <w:rPr>
                <w:rFonts w:ascii="Calibri" w:hAnsi="Calibri" w:eastAsia="Calibri" w:cs="Calibri"/>
                <w:b/>
                <w:bCs/>
                <w:color w:val="1A1A1A"/>
                <w:sz w:val="20"/>
                <w:szCs w:val="20"/>
              </w:rPr>
              <w:t>Underwriting Quality &amp; Model Rigor</w:t>
            </w:r>
          </w:p>
        </w:tc>
        <w:tc>
          <w:tcPr>
            <w:tcW w:w="6100" w:type="dxa"/>
            <w:tcMar>
              <w:top w:w="80" w:type="dxa"/>
              <w:left w:w="120" w:type="dxa"/>
              <w:bottom w:w="80" w:type="dxa"/>
              <w:right w:w="120" w:type="dxa"/>
            </w:tcMar>
          </w:tcPr>
          <w:p w:rsidR="005D5F4C" w:rsidRDefault="00000000" w14:paraId="66499ED1" w14:textId="77777777">
            <w:pPr>
              <w:spacing w:line="240" w:lineRule="auto"/>
              <w:rPr>
                <w:rFonts w:ascii="Calibri" w:hAnsi="Calibri" w:eastAsia="Calibri" w:cs="Calibri"/>
              </w:rPr>
            </w:pPr>
            <w:r>
              <w:rPr>
                <w:rFonts w:ascii="Calibri" w:hAnsi="Calibri" w:eastAsia="Calibri" w:cs="Calibri"/>
                <w:color w:val="1A1A1A"/>
                <w:sz w:val="20"/>
                <w:szCs w:val="20"/>
              </w:rPr>
              <w:t>Defensible assumptions, correctly sized debt, and returns math that ties together. The model is clean, auditable, and free of mechanical errors.</w:t>
            </w:r>
          </w:p>
        </w:tc>
        <w:tc>
          <w:tcPr>
            <w:tcW w:w="1100" w:type="dxa"/>
            <w:tcMar>
              <w:top w:w="80" w:type="dxa"/>
              <w:left w:w="120" w:type="dxa"/>
              <w:bottom w:w="80" w:type="dxa"/>
              <w:right w:w="120" w:type="dxa"/>
            </w:tcMar>
          </w:tcPr>
          <w:p w:rsidR="005D5F4C" w:rsidRDefault="00000000" w14:paraId="315E9F41" w14:textId="77777777">
            <w:pPr>
              <w:spacing w:line="240" w:lineRule="auto"/>
              <w:jc w:val="center"/>
              <w:rPr>
                <w:rFonts w:ascii="Calibri" w:hAnsi="Calibri" w:eastAsia="Calibri" w:cs="Calibri"/>
              </w:rPr>
            </w:pPr>
            <w:r>
              <w:rPr>
                <w:rFonts w:ascii="Calibri" w:hAnsi="Calibri" w:eastAsia="Calibri" w:cs="Calibri"/>
                <w:color w:val="1A1A1A"/>
                <w:sz w:val="20"/>
                <w:szCs w:val="20"/>
              </w:rPr>
              <w:t>/ 5</w:t>
            </w:r>
          </w:p>
        </w:tc>
      </w:tr>
      <w:tr w:rsidR="005D5F4C" w:rsidTr="05E3AA27" w14:paraId="4413E29E" w14:textId="77777777">
        <w:tc>
          <w:tcPr>
            <w:tcW w:w="2600" w:type="dxa"/>
            <w:shd w:val="clear" w:color="auto" w:fill="F4F1E9"/>
            <w:tcMar>
              <w:top w:w="80" w:type="dxa"/>
              <w:left w:w="120" w:type="dxa"/>
              <w:bottom w:w="80" w:type="dxa"/>
              <w:right w:w="120" w:type="dxa"/>
            </w:tcMar>
          </w:tcPr>
          <w:p w:rsidR="005D5F4C" w:rsidRDefault="00000000" w14:paraId="09712816" w14:textId="77777777">
            <w:pPr>
              <w:spacing w:line="240" w:lineRule="auto"/>
              <w:rPr>
                <w:rFonts w:ascii="Calibri" w:hAnsi="Calibri" w:eastAsia="Calibri" w:cs="Calibri"/>
              </w:rPr>
            </w:pPr>
            <w:r>
              <w:rPr>
                <w:rFonts w:ascii="Calibri" w:hAnsi="Calibri" w:eastAsia="Calibri" w:cs="Calibri"/>
                <w:b/>
                <w:bCs/>
                <w:color w:val="1A1A1A"/>
                <w:sz w:val="20"/>
                <w:szCs w:val="20"/>
              </w:rPr>
              <w:t>Risk Analysis</w:t>
            </w:r>
          </w:p>
        </w:tc>
        <w:tc>
          <w:tcPr>
            <w:tcW w:w="6100" w:type="dxa"/>
            <w:shd w:val="clear" w:color="auto" w:fill="F4F1E9"/>
            <w:tcMar>
              <w:top w:w="80" w:type="dxa"/>
              <w:left w:w="120" w:type="dxa"/>
              <w:bottom w:w="80" w:type="dxa"/>
              <w:right w:w="120" w:type="dxa"/>
            </w:tcMar>
          </w:tcPr>
          <w:p w:rsidR="005D5F4C" w:rsidRDefault="00000000" w14:paraId="551B98ED" w14:textId="2D921B23">
            <w:pPr>
              <w:spacing w:line="240" w:lineRule="auto"/>
              <w:rPr>
                <w:rFonts w:ascii="Calibri" w:hAnsi="Calibri" w:eastAsia="Calibri" w:cs="Calibri"/>
              </w:rPr>
            </w:pPr>
            <w:r w:rsidRPr="05E3AA27" w:rsidR="278A8106">
              <w:rPr>
                <w:rFonts w:ascii="Calibri" w:hAnsi="Calibri" w:eastAsia="Calibri" w:cs="Calibri"/>
                <w:color w:val="1A1A1A"/>
                <w:sz w:val="20"/>
                <w:szCs w:val="20"/>
              </w:rPr>
              <w:t xml:space="preserve">Thoughtful sensitivities and a credible downside case. Rollover, re-stabilization, or lease-up risk is </w:t>
            </w:r>
            <w:r w:rsidRPr="05E3AA27" w:rsidR="278A8106">
              <w:rPr>
                <w:rFonts w:ascii="Calibri" w:hAnsi="Calibri" w:eastAsia="Calibri" w:cs="Calibri"/>
                <w:color w:val="1A1A1A"/>
                <w:sz w:val="20"/>
                <w:szCs w:val="20"/>
              </w:rPr>
              <w:t>identified</w:t>
            </w:r>
            <w:r w:rsidRPr="05E3AA27" w:rsidR="278A8106">
              <w:rPr>
                <w:rFonts w:ascii="Calibri" w:hAnsi="Calibri" w:eastAsia="Calibri" w:cs="Calibri"/>
                <w:color w:val="1A1A1A"/>
                <w:sz w:val="20"/>
                <w:szCs w:val="20"/>
              </w:rPr>
              <w:t xml:space="preserve"> and quantified, not hand-waved.</w:t>
            </w:r>
            <w:r w:rsidRPr="05E3AA27" w:rsidR="43791FA9">
              <w:rPr>
                <w:rFonts w:ascii="Calibri" w:hAnsi="Calibri" w:eastAsia="Calibri" w:cs="Calibri"/>
                <w:color w:val="1A1A1A"/>
                <w:sz w:val="20"/>
                <w:szCs w:val="20"/>
              </w:rPr>
              <w:t xml:space="preserve"> Attended site/sites (if development) to understand value relative to built enviorment.</w:t>
            </w:r>
          </w:p>
        </w:tc>
        <w:tc>
          <w:tcPr>
            <w:tcW w:w="1100" w:type="dxa"/>
            <w:shd w:val="clear" w:color="auto" w:fill="F4F1E9"/>
            <w:tcMar>
              <w:top w:w="80" w:type="dxa"/>
              <w:left w:w="120" w:type="dxa"/>
              <w:bottom w:w="80" w:type="dxa"/>
              <w:right w:w="120" w:type="dxa"/>
            </w:tcMar>
          </w:tcPr>
          <w:p w:rsidR="005D5F4C" w:rsidRDefault="00000000" w14:paraId="1EC69A23" w14:textId="77777777">
            <w:pPr>
              <w:spacing w:line="240" w:lineRule="auto"/>
              <w:jc w:val="center"/>
              <w:rPr>
                <w:rFonts w:ascii="Calibri" w:hAnsi="Calibri" w:eastAsia="Calibri" w:cs="Calibri"/>
              </w:rPr>
            </w:pPr>
            <w:r>
              <w:rPr>
                <w:rFonts w:ascii="Calibri" w:hAnsi="Calibri" w:eastAsia="Calibri" w:cs="Calibri"/>
                <w:color w:val="1A1A1A"/>
                <w:sz w:val="20"/>
                <w:szCs w:val="20"/>
              </w:rPr>
              <w:t>/ 5</w:t>
            </w:r>
          </w:p>
        </w:tc>
      </w:tr>
      <w:tr w:rsidR="005D5F4C" w:rsidTr="05E3AA27" w14:paraId="60CFA6F3" w14:textId="77777777">
        <w:tc>
          <w:tcPr>
            <w:tcW w:w="2600" w:type="dxa"/>
            <w:tcMar>
              <w:top w:w="80" w:type="dxa"/>
              <w:left w:w="120" w:type="dxa"/>
              <w:bottom w:w="80" w:type="dxa"/>
              <w:right w:w="120" w:type="dxa"/>
            </w:tcMar>
          </w:tcPr>
          <w:p w:rsidR="005D5F4C" w:rsidRDefault="00000000" w14:paraId="49E9A030" w14:textId="77777777">
            <w:pPr>
              <w:spacing w:line="240" w:lineRule="auto"/>
              <w:rPr>
                <w:rFonts w:ascii="Calibri" w:hAnsi="Calibri" w:eastAsia="Calibri" w:cs="Calibri"/>
              </w:rPr>
            </w:pPr>
            <w:r>
              <w:rPr>
                <w:rFonts w:ascii="Calibri" w:hAnsi="Calibri" w:eastAsia="Calibri" w:cs="Calibri"/>
                <w:b/>
                <w:bCs/>
                <w:color w:val="1A1A1A"/>
                <w:sz w:val="20"/>
                <w:szCs w:val="20"/>
              </w:rPr>
              <w:t>Uniqueness of Value</w:t>
            </w:r>
          </w:p>
        </w:tc>
        <w:tc>
          <w:tcPr>
            <w:tcW w:w="6100" w:type="dxa"/>
            <w:tcMar>
              <w:top w:w="80" w:type="dxa"/>
              <w:left w:w="120" w:type="dxa"/>
              <w:bottom w:w="80" w:type="dxa"/>
              <w:right w:w="120" w:type="dxa"/>
            </w:tcMar>
          </w:tcPr>
          <w:p w:rsidR="005D5F4C" w:rsidRDefault="00000000" w14:paraId="22B334A5" w14:textId="77777777">
            <w:pPr>
              <w:spacing w:line="240" w:lineRule="auto"/>
              <w:rPr>
                <w:rFonts w:ascii="Calibri" w:hAnsi="Calibri" w:eastAsia="Calibri" w:cs="Calibri"/>
              </w:rPr>
            </w:pPr>
            <w:r>
              <w:rPr>
                <w:rFonts w:ascii="Calibri" w:hAnsi="Calibri" w:eastAsia="Calibri" w:cs="Calibri"/>
                <w:color w:val="1A1A1A"/>
                <w:sz w:val="20"/>
                <w:szCs w:val="20"/>
              </w:rPr>
              <w:t>The deal offers something distinct: a differentiated product, real value created for the community, or an outsized return story for investors. The presenter can articulate why this deal and not the one next door.</w:t>
            </w:r>
          </w:p>
        </w:tc>
        <w:tc>
          <w:tcPr>
            <w:tcW w:w="1100" w:type="dxa"/>
            <w:tcMar>
              <w:top w:w="80" w:type="dxa"/>
              <w:left w:w="120" w:type="dxa"/>
              <w:bottom w:w="80" w:type="dxa"/>
              <w:right w:w="120" w:type="dxa"/>
            </w:tcMar>
          </w:tcPr>
          <w:p w:rsidR="005D5F4C" w:rsidRDefault="00000000" w14:paraId="4FF7644C" w14:textId="77777777">
            <w:pPr>
              <w:spacing w:line="240" w:lineRule="auto"/>
              <w:jc w:val="center"/>
              <w:rPr>
                <w:rFonts w:ascii="Calibri" w:hAnsi="Calibri" w:eastAsia="Calibri" w:cs="Calibri"/>
              </w:rPr>
            </w:pPr>
            <w:r>
              <w:rPr>
                <w:rFonts w:ascii="Calibri" w:hAnsi="Calibri" w:eastAsia="Calibri" w:cs="Calibri"/>
                <w:color w:val="1A1A1A"/>
                <w:sz w:val="20"/>
                <w:szCs w:val="20"/>
              </w:rPr>
              <w:t>/ 5</w:t>
            </w:r>
          </w:p>
        </w:tc>
      </w:tr>
      <w:tr w:rsidR="005D5F4C" w:rsidTr="05E3AA27" w14:paraId="4B80C590" w14:textId="77777777">
        <w:tc>
          <w:tcPr>
            <w:tcW w:w="2600" w:type="dxa"/>
            <w:tcMar>
              <w:top w:w="80" w:type="dxa"/>
              <w:left w:w="120" w:type="dxa"/>
              <w:bottom w:w="80" w:type="dxa"/>
              <w:right w:w="120" w:type="dxa"/>
            </w:tcMar>
          </w:tcPr>
          <w:p w:rsidR="005D5F4C" w:rsidRDefault="00000000" w14:paraId="1944B556" w14:textId="77777777">
            <w:pPr>
              <w:spacing w:line="240" w:lineRule="auto"/>
              <w:rPr>
                <w:rFonts w:ascii="Calibri" w:hAnsi="Calibri" w:eastAsia="Calibri" w:cs="Calibri"/>
              </w:rPr>
            </w:pPr>
            <w:r>
              <w:rPr>
                <w:rFonts w:ascii="Calibri" w:hAnsi="Calibri" w:eastAsia="Calibri" w:cs="Calibri"/>
                <w:b/>
                <w:bCs/>
                <w:color w:val="1A1A1A"/>
                <w:sz w:val="20"/>
                <w:szCs w:val="20"/>
              </w:rPr>
              <w:t>Presentation &amp; Q&amp;A</w:t>
            </w:r>
          </w:p>
        </w:tc>
        <w:tc>
          <w:tcPr>
            <w:tcW w:w="6100" w:type="dxa"/>
            <w:tcMar>
              <w:top w:w="80" w:type="dxa"/>
              <w:left w:w="120" w:type="dxa"/>
              <w:bottom w:w="80" w:type="dxa"/>
              <w:right w:w="120" w:type="dxa"/>
            </w:tcMar>
          </w:tcPr>
          <w:p w:rsidR="005D5F4C" w:rsidRDefault="00000000" w14:paraId="7BED5DC9" w14:textId="77777777">
            <w:pPr>
              <w:spacing w:line="240" w:lineRule="auto"/>
              <w:rPr>
                <w:rFonts w:ascii="Calibri" w:hAnsi="Calibri" w:eastAsia="Calibri" w:cs="Calibri"/>
              </w:rPr>
            </w:pPr>
            <w:r>
              <w:rPr>
                <w:rFonts w:ascii="Calibri" w:hAnsi="Calibri" w:eastAsia="Calibri" w:cs="Calibri"/>
                <w:color w:val="1A1A1A"/>
                <w:sz w:val="20"/>
                <w:szCs w:val="20"/>
              </w:rPr>
              <w:t>Organized, well-paced delivery. Handles board questions directly and honestly, including knowing the limits of their own analysis.</w:t>
            </w:r>
          </w:p>
        </w:tc>
        <w:tc>
          <w:tcPr>
            <w:tcW w:w="1100" w:type="dxa"/>
            <w:tcMar>
              <w:top w:w="80" w:type="dxa"/>
              <w:left w:w="120" w:type="dxa"/>
              <w:bottom w:w="80" w:type="dxa"/>
              <w:right w:w="120" w:type="dxa"/>
            </w:tcMar>
          </w:tcPr>
          <w:p w:rsidR="005D5F4C" w:rsidRDefault="00000000" w14:paraId="5C33D50A" w14:textId="77777777">
            <w:pPr>
              <w:spacing w:line="240" w:lineRule="auto"/>
              <w:jc w:val="center"/>
              <w:rPr>
                <w:rFonts w:ascii="Calibri" w:hAnsi="Calibri" w:eastAsia="Calibri" w:cs="Calibri"/>
              </w:rPr>
            </w:pPr>
            <w:r>
              <w:rPr>
                <w:rFonts w:ascii="Calibri" w:hAnsi="Calibri" w:eastAsia="Calibri" w:cs="Calibri"/>
                <w:color w:val="1A1A1A"/>
                <w:sz w:val="20"/>
                <w:szCs w:val="20"/>
              </w:rPr>
              <w:t>/ 5</w:t>
            </w:r>
          </w:p>
        </w:tc>
      </w:tr>
      <w:tr w:rsidR="005D5F4C" w:rsidTr="05E3AA27" w14:paraId="480FBD18" w14:textId="77777777">
        <w:tc>
          <w:tcPr>
            <w:tcW w:w="2600" w:type="dxa"/>
            <w:shd w:val="clear" w:color="auto" w:fill="B3A369"/>
            <w:tcMar>
              <w:top w:w="80" w:type="dxa"/>
              <w:left w:w="120" w:type="dxa"/>
              <w:bottom w:w="80" w:type="dxa"/>
              <w:right w:w="120" w:type="dxa"/>
            </w:tcMar>
          </w:tcPr>
          <w:p w:rsidR="005D5F4C" w:rsidRDefault="00000000" w14:paraId="2627F27E" w14:textId="77777777">
            <w:pPr>
              <w:spacing w:line="240" w:lineRule="auto"/>
              <w:rPr>
                <w:rFonts w:ascii="Calibri" w:hAnsi="Calibri" w:eastAsia="Calibri" w:cs="Calibri"/>
              </w:rPr>
            </w:pPr>
            <w:r>
              <w:rPr>
                <w:rFonts w:ascii="Calibri" w:hAnsi="Calibri" w:eastAsia="Calibri" w:cs="Calibri"/>
                <w:b/>
                <w:bCs/>
                <w:color w:val="1A1A1A"/>
                <w:sz w:val="20"/>
                <w:szCs w:val="20"/>
              </w:rPr>
              <w:t>Total</w:t>
            </w:r>
          </w:p>
        </w:tc>
        <w:tc>
          <w:tcPr>
            <w:tcW w:w="6100" w:type="dxa"/>
            <w:shd w:val="clear" w:color="auto" w:fill="B3A369"/>
            <w:tcMar>
              <w:top w:w="80" w:type="dxa"/>
              <w:left w:w="120" w:type="dxa"/>
              <w:bottom w:w="80" w:type="dxa"/>
              <w:right w:w="120" w:type="dxa"/>
            </w:tcMar>
          </w:tcPr>
          <w:p w:rsidR="005D5F4C" w:rsidRDefault="005D5F4C" w14:paraId="658E82B2" w14:textId="77777777">
            <w:pPr>
              <w:spacing w:line="240" w:lineRule="auto"/>
              <w:rPr>
                <w:rFonts w:ascii="Calibri" w:hAnsi="Calibri" w:eastAsia="Calibri" w:cs="Calibri"/>
              </w:rPr>
            </w:pPr>
          </w:p>
        </w:tc>
        <w:tc>
          <w:tcPr>
            <w:tcW w:w="1100" w:type="dxa"/>
            <w:shd w:val="clear" w:color="auto" w:fill="B3A369"/>
            <w:tcMar>
              <w:top w:w="80" w:type="dxa"/>
              <w:left w:w="120" w:type="dxa"/>
              <w:bottom w:w="80" w:type="dxa"/>
              <w:right w:w="120" w:type="dxa"/>
            </w:tcMar>
          </w:tcPr>
          <w:p w:rsidR="005D5F4C" w:rsidRDefault="00000000" w14:paraId="2738C5FA" w14:textId="77777777">
            <w:pPr>
              <w:spacing w:line="240" w:lineRule="auto"/>
              <w:jc w:val="center"/>
              <w:rPr>
                <w:rFonts w:ascii="Calibri" w:hAnsi="Calibri" w:eastAsia="Calibri" w:cs="Calibri"/>
              </w:rPr>
            </w:pPr>
            <w:r>
              <w:rPr>
                <w:rFonts w:ascii="Calibri" w:hAnsi="Calibri" w:eastAsia="Calibri" w:cs="Calibri"/>
                <w:b/>
                <w:bCs/>
                <w:color w:val="1A1A1A"/>
                <w:sz w:val="20"/>
                <w:szCs w:val="20"/>
              </w:rPr>
              <w:t>/ 25</w:t>
            </w:r>
          </w:p>
        </w:tc>
      </w:tr>
    </w:tbl>
    <w:p w:rsidR="005D5F4C" w:rsidRDefault="00000000" w14:paraId="1ED6212E" w14:textId="77777777">
      <w:pPr>
        <w:spacing w:before="160" w:line="240" w:lineRule="auto"/>
        <w:rPr>
          <w:b/>
          <w:bCs/>
          <w:color w:val="1B2A4A"/>
        </w:rPr>
      </w:pPr>
      <w:r>
        <w:rPr>
          <w:rFonts w:ascii="Calibri" w:hAnsi="Calibri" w:eastAsia="Calibri" w:cs="Calibri"/>
          <w:i/>
          <w:iCs/>
          <w:color w:val="595959"/>
          <w:sz w:val="20"/>
          <w:szCs w:val="20"/>
        </w:rPr>
        <w:t>Scoring guide: 5 = exceptional, 4 = strong, 3 = solid, 2 = developing, 1 = incomplete.</w:t>
      </w:r>
    </w:p>
    <w:p w:rsidR="005D5F4C" w:rsidRDefault="005D5F4C" w14:paraId="17C3A4ED" w14:textId="77777777">
      <w:pPr>
        <w:pBdr>
          <w:top w:val="single" w:color="B3A369" w:sz="8" w:space="0"/>
        </w:pBdr>
        <w:spacing w:before="400" w:line="240" w:lineRule="auto"/>
        <w:rPr>
          <w:rFonts w:ascii="Calibri" w:hAnsi="Calibri" w:eastAsia="Calibri" w:cs="Calibri"/>
        </w:rPr>
      </w:pPr>
    </w:p>
    <w:p w:rsidR="005D5F4C" w:rsidRDefault="005D5F4C" w14:paraId="479AC8F3" w14:textId="77777777">
      <w:pPr>
        <w:spacing w:before="60" w:after="100" w:line="240" w:lineRule="auto"/>
        <w:rPr>
          <w:color w:val="999999"/>
          <w:sz w:val="20"/>
          <w:szCs w:val="20"/>
        </w:rPr>
      </w:pPr>
    </w:p>
    <w:p w:rsidR="005D5F4C" w:rsidRDefault="005D5F4C" w14:paraId="181BFC9A" w14:textId="77777777">
      <w:pPr>
        <w:spacing w:before="100" w:line="240" w:lineRule="auto"/>
        <w:rPr>
          <w:sz w:val="20"/>
          <w:szCs w:val="20"/>
        </w:rPr>
      </w:pPr>
    </w:p>
    <w:p w:rsidR="005D5F4C" w:rsidRDefault="00000000" w14:paraId="04B6701F" w14:textId="77777777">
      <w:pPr>
        <w:spacing w:before="240" w:after="80" w:line="240" w:lineRule="auto"/>
        <w:rPr>
          <w:sz w:val="20"/>
          <w:szCs w:val="20"/>
        </w:rPr>
      </w:pPr>
      <w:r>
        <w:rPr>
          <w:b/>
          <w:bCs/>
          <w:color w:val="1B2A4A"/>
        </w:rPr>
        <w:t>Timeline</w:t>
      </w:r>
    </w:p>
    <w:p w:rsidR="005D5F4C" w:rsidRDefault="005D5F4C" w14:paraId="65F8165F" w14:textId="77777777">
      <w:pPr>
        <w:spacing w:before="60" w:line="240" w:lineRule="auto"/>
        <w:rPr>
          <w:sz w:val="20"/>
          <w:szCs w:val="20"/>
        </w:rPr>
      </w:pPr>
    </w:p>
    <w:tbl>
      <w:tblPr>
        <w:tblW w:w="936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600"/>
        <w:gridCol w:w="7760"/>
      </w:tblGrid>
      <w:tr w:rsidR="005D5F4C" w:rsidTr="05E3AA27" w14:paraId="02E11446" w14:textId="77777777">
        <w:tc>
          <w:tcPr>
            <w:tcW w:w="1600" w:type="dxa"/>
            <w:tcBorders>
              <w:top w:val="nil"/>
              <w:left w:val="nil"/>
              <w:bottom w:val="nil"/>
              <w:right w:val="nil"/>
            </w:tcBorders>
            <w:shd w:val="clear" w:color="auto" w:fill="1B2A4A"/>
            <w:tcMar>
              <w:top w:w="80" w:type="dxa"/>
              <w:left w:w="140" w:type="dxa"/>
              <w:bottom w:w="80" w:type="dxa"/>
              <w:right w:w="140" w:type="dxa"/>
            </w:tcMar>
          </w:tcPr>
          <w:p w:rsidR="005D5F4C" w:rsidRDefault="00000000" w14:paraId="797F34CB" w14:textId="77777777">
            <w:pPr>
              <w:spacing w:line="240" w:lineRule="auto"/>
              <w:rPr>
                <w:sz w:val="20"/>
                <w:szCs w:val="20"/>
              </w:rPr>
            </w:pPr>
            <w:r>
              <w:rPr>
                <w:b/>
                <w:bCs/>
                <w:color w:val="FFFFFF"/>
                <w:sz w:val="20"/>
                <w:szCs w:val="20"/>
              </w:rPr>
              <w:t>Date</w:t>
            </w:r>
          </w:p>
        </w:tc>
        <w:tc>
          <w:tcPr>
            <w:tcW w:w="7760" w:type="dxa"/>
            <w:tcBorders>
              <w:top w:val="nil"/>
              <w:left w:val="nil"/>
              <w:bottom w:val="nil"/>
              <w:right w:val="nil"/>
            </w:tcBorders>
            <w:shd w:val="clear" w:color="auto" w:fill="1B2A4A"/>
            <w:tcMar>
              <w:top w:w="80" w:type="dxa"/>
              <w:left w:w="140" w:type="dxa"/>
              <w:bottom w:w="80" w:type="dxa"/>
              <w:right w:w="140" w:type="dxa"/>
            </w:tcMar>
          </w:tcPr>
          <w:p w:rsidR="005D5F4C" w:rsidRDefault="00000000" w14:paraId="20193A5F" w14:textId="77777777">
            <w:pPr>
              <w:spacing w:line="240" w:lineRule="auto"/>
              <w:rPr>
                <w:sz w:val="20"/>
                <w:szCs w:val="20"/>
              </w:rPr>
            </w:pPr>
            <w:r>
              <w:rPr>
                <w:b/>
                <w:bCs/>
                <w:color w:val="FFFFFF"/>
                <w:sz w:val="20"/>
                <w:szCs w:val="20"/>
              </w:rPr>
              <w:t>Milestone</w:t>
            </w:r>
          </w:p>
        </w:tc>
      </w:tr>
      <w:tr w:rsidR="005D5F4C" w:rsidTr="05E3AA27" w14:paraId="52637605" w14:textId="77777777">
        <w:tc>
          <w:tcPr>
            <w:tcW w:w="1600" w:type="dxa"/>
            <w:tcBorders>
              <w:top w:val="nil"/>
              <w:left w:val="nil"/>
              <w:bottom w:val="nil"/>
              <w:right w:val="nil"/>
            </w:tcBorders>
            <w:shd w:val="clear" w:color="auto" w:fill="FFFFFF" w:themeFill="background1"/>
            <w:tcMar>
              <w:top w:w="80" w:type="dxa"/>
              <w:left w:w="140" w:type="dxa"/>
              <w:bottom w:w="80" w:type="dxa"/>
              <w:right w:w="140" w:type="dxa"/>
            </w:tcMar>
          </w:tcPr>
          <w:p w:rsidR="005D5F4C" w:rsidRDefault="00000000" w14:paraId="0FD37908" w14:textId="77777777">
            <w:pPr>
              <w:spacing w:line="240" w:lineRule="auto"/>
              <w:rPr>
                <w:sz w:val="20"/>
                <w:szCs w:val="20"/>
              </w:rPr>
            </w:pPr>
            <w:r>
              <w:rPr>
                <w:b/>
                <w:bCs/>
                <w:color w:val="1B2A4A"/>
                <w:sz w:val="20"/>
                <w:szCs w:val="20"/>
              </w:rPr>
              <w:t>10/26/26</w:t>
            </w:r>
          </w:p>
        </w:tc>
        <w:tc>
          <w:tcPr>
            <w:tcW w:w="7760" w:type="dxa"/>
            <w:tcBorders>
              <w:top w:val="nil"/>
              <w:left w:val="nil"/>
              <w:bottom w:val="nil"/>
              <w:right w:val="nil"/>
            </w:tcBorders>
            <w:shd w:val="clear" w:color="auto" w:fill="FFFFFF" w:themeFill="background1"/>
            <w:tcMar>
              <w:top w:w="80" w:type="dxa"/>
              <w:left w:w="140" w:type="dxa"/>
              <w:bottom w:w="80" w:type="dxa"/>
              <w:right w:w="140" w:type="dxa"/>
            </w:tcMar>
          </w:tcPr>
          <w:p w:rsidR="005D5F4C" w:rsidRDefault="00000000" w14:paraId="3ED6D2D8" w14:textId="77777777">
            <w:pPr>
              <w:spacing w:line="240" w:lineRule="auto"/>
              <w:rPr>
                <w:sz w:val="20"/>
                <w:szCs w:val="20"/>
              </w:rPr>
            </w:pPr>
            <w:r>
              <w:rPr>
                <w:color w:val="444444"/>
                <w:sz w:val="20"/>
                <w:szCs w:val="20"/>
              </w:rPr>
              <w:t>Case Study Overview and Submarket Research Session</w:t>
            </w:r>
          </w:p>
        </w:tc>
      </w:tr>
      <w:tr w:rsidR="005D5F4C" w:rsidTr="05E3AA27" w14:paraId="2E261DE4" w14:textId="77777777">
        <w:tc>
          <w:tcPr>
            <w:tcW w:w="1600" w:type="dxa"/>
            <w:tcBorders>
              <w:top w:val="nil"/>
              <w:left w:val="nil"/>
              <w:bottom w:val="nil"/>
              <w:right w:val="nil"/>
            </w:tcBorders>
            <w:shd w:val="clear" w:color="auto" w:fill="EEF0F3"/>
            <w:tcMar>
              <w:top w:w="80" w:type="dxa"/>
              <w:left w:w="140" w:type="dxa"/>
              <w:bottom w:w="80" w:type="dxa"/>
              <w:right w:w="140" w:type="dxa"/>
            </w:tcMar>
          </w:tcPr>
          <w:p w:rsidR="005D5F4C" w:rsidRDefault="00000000" w14:paraId="4CB37794" w14:textId="77777777">
            <w:pPr>
              <w:spacing w:line="240" w:lineRule="auto"/>
              <w:rPr>
                <w:sz w:val="20"/>
                <w:szCs w:val="20"/>
              </w:rPr>
            </w:pPr>
            <w:r>
              <w:rPr>
                <w:b/>
                <w:bCs/>
                <w:color w:val="1B2A4A"/>
                <w:sz w:val="20"/>
                <w:szCs w:val="20"/>
              </w:rPr>
              <w:t>11/2/26</w:t>
            </w:r>
          </w:p>
        </w:tc>
        <w:tc>
          <w:tcPr>
            <w:tcW w:w="7760" w:type="dxa"/>
            <w:tcBorders>
              <w:top w:val="nil"/>
              <w:left w:val="nil"/>
              <w:bottom w:val="nil"/>
              <w:right w:val="nil"/>
            </w:tcBorders>
            <w:shd w:val="clear" w:color="auto" w:fill="EEF0F3"/>
            <w:tcMar>
              <w:top w:w="80" w:type="dxa"/>
              <w:left w:w="140" w:type="dxa"/>
              <w:bottom w:w="80" w:type="dxa"/>
              <w:right w:w="140" w:type="dxa"/>
            </w:tcMar>
          </w:tcPr>
          <w:p w:rsidR="005D5F4C" w:rsidRDefault="00000000" w14:paraId="1BFF59D6" w14:textId="77777777">
            <w:pPr>
              <w:spacing w:line="240" w:lineRule="auto"/>
              <w:rPr>
                <w:sz w:val="20"/>
                <w:szCs w:val="20"/>
              </w:rPr>
            </w:pPr>
            <w:r>
              <w:rPr>
                <w:color w:val="444444"/>
                <w:sz w:val="20"/>
                <w:szCs w:val="20"/>
              </w:rPr>
              <w:t>Underwriting and Excel Modeling Session</w:t>
            </w:r>
          </w:p>
        </w:tc>
      </w:tr>
      <w:tr w:rsidR="005D5F4C" w:rsidTr="05E3AA27" w14:paraId="5F2AD8A1" w14:textId="77777777">
        <w:tc>
          <w:tcPr>
            <w:tcW w:w="1600" w:type="dxa"/>
            <w:tcBorders>
              <w:top w:val="nil"/>
              <w:left w:val="nil"/>
              <w:bottom w:val="nil"/>
              <w:right w:val="nil"/>
            </w:tcBorders>
            <w:shd w:val="clear" w:color="auto" w:fill="FFFFFF" w:themeFill="background1"/>
            <w:tcMar>
              <w:top w:w="80" w:type="dxa"/>
              <w:left w:w="140" w:type="dxa"/>
              <w:bottom w:w="80" w:type="dxa"/>
              <w:right w:w="140" w:type="dxa"/>
            </w:tcMar>
          </w:tcPr>
          <w:p w:rsidR="005D5F4C" w:rsidRDefault="00000000" w14:paraId="075581AF" w14:textId="77777777">
            <w:pPr>
              <w:spacing w:line="240" w:lineRule="auto"/>
              <w:rPr>
                <w:sz w:val="20"/>
                <w:szCs w:val="20"/>
              </w:rPr>
            </w:pPr>
            <w:r>
              <w:rPr>
                <w:b/>
                <w:bCs/>
                <w:color w:val="1B2A4A"/>
                <w:sz w:val="20"/>
                <w:szCs w:val="20"/>
              </w:rPr>
              <w:t>11/9/26</w:t>
            </w:r>
          </w:p>
        </w:tc>
        <w:tc>
          <w:tcPr>
            <w:tcW w:w="7760" w:type="dxa"/>
            <w:tcBorders>
              <w:top w:val="nil"/>
              <w:left w:val="nil"/>
              <w:bottom w:val="nil"/>
              <w:right w:val="nil"/>
            </w:tcBorders>
            <w:shd w:val="clear" w:color="auto" w:fill="FFFFFF" w:themeFill="background1"/>
            <w:tcMar>
              <w:top w:w="80" w:type="dxa"/>
              <w:left w:w="140" w:type="dxa"/>
              <w:bottom w:w="80" w:type="dxa"/>
              <w:right w:w="140" w:type="dxa"/>
            </w:tcMar>
          </w:tcPr>
          <w:p w:rsidR="005D5F4C" w:rsidRDefault="00000000" w14:paraId="765CBF7B" w14:textId="77777777">
            <w:pPr>
              <w:spacing w:line="240" w:lineRule="auto"/>
              <w:rPr>
                <w:sz w:val="20"/>
                <w:szCs w:val="20"/>
              </w:rPr>
            </w:pPr>
            <w:r>
              <w:rPr>
                <w:color w:val="444444"/>
                <w:sz w:val="20"/>
                <w:szCs w:val="20"/>
              </w:rPr>
              <w:t>Case Study Example and Check-In</w:t>
            </w:r>
          </w:p>
        </w:tc>
      </w:tr>
      <w:tr w:rsidR="005D5F4C" w:rsidTr="05E3AA27" w14:paraId="5F30492C" w14:textId="77777777">
        <w:tc>
          <w:tcPr>
            <w:tcW w:w="1600" w:type="dxa"/>
            <w:tcBorders>
              <w:top w:val="nil"/>
              <w:left w:val="nil"/>
              <w:bottom w:val="nil"/>
              <w:right w:val="nil"/>
            </w:tcBorders>
            <w:shd w:val="clear" w:color="auto" w:fill="EEF0F3"/>
            <w:tcMar>
              <w:top w:w="80" w:type="dxa"/>
              <w:left w:w="140" w:type="dxa"/>
              <w:bottom w:w="80" w:type="dxa"/>
              <w:right w:w="140" w:type="dxa"/>
            </w:tcMar>
          </w:tcPr>
          <w:p w:rsidR="005D5F4C" w:rsidRDefault="00000000" w14:paraId="09C57793" w14:textId="77777777">
            <w:pPr>
              <w:spacing w:line="240" w:lineRule="auto"/>
              <w:rPr>
                <w:sz w:val="20"/>
                <w:szCs w:val="20"/>
              </w:rPr>
            </w:pPr>
            <w:r>
              <w:rPr>
                <w:b/>
                <w:bCs/>
                <w:color w:val="1B2A4A"/>
                <w:sz w:val="20"/>
                <w:szCs w:val="20"/>
              </w:rPr>
              <w:t>11/16/26</w:t>
            </w:r>
          </w:p>
        </w:tc>
        <w:tc>
          <w:tcPr>
            <w:tcW w:w="7760" w:type="dxa"/>
            <w:tcBorders>
              <w:top w:val="nil"/>
              <w:left w:val="nil"/>
              <w:bottom w:val="nil"/>
              <w:right w:val="nil"/>
            </w:tcBorders>
            <w:shd w:val="clear" w:color="auto" w:fill="EEF0F3"/>
            <w:tcMar>
              <w:top w:w="80" w:type="dxa"/>
              <w:left w:w="140" w:type="dxa"/>
              <w:bottom w:w="80" w:type="dxa"/>
              <w:right w:w="140" w:type="dxa"/>
            </w:tcMar>
          </w:tcPr>
          <w:p w:rsidR="005D5F4C" w:rsidRDefault="00000000" w14:paraId="77890922" w14:textId="77777777">
            <w:pPr>
              <w:spacing w:line="240" w:lineRule="auto"/>
              <w:rPr>
                <w:sz w:val="20"/>
                <w:szCs w:val="20"/>
              </w:rPr>
            </w:pPr>
            <w:r>
              <w:rPr>
                <w:color w:val="444444"/>
                <w:sz w:val="20"/>
                <w:szCs w:val="20"/>
              </w:rPr>
              <w:t>Case Study Review by Professionals</w:t>
            </w:r>
          </w:p>
        </w:tc>
      </w:tr>
      <w:tr w:rsidR="005D5F4C" w:rsidTr="05E3AA27" w14:paraId="2C71321D" w14:textId="77777777">
        <w:tc>
          <w:tcPr>
            <w:tcW w:w="1600" w:type="dxa"/>
            <w:tcBorders>
              <w:top w:val="nil"/>
              <w:left w:val="nil"/>
              <w:bottom w:val="nil"/>
              <w:right w:val="nil"/>
            </w:tcBorders>
            <w:shd w:val="clear" w:color="auto" w:fill="FFFFFF" w:themeFill="background1"/>
            <w:tcMar>
              <w:top w:w="80" w:type="dxa"/>
              <w:left w:w="140" w:type="dxa"/>
              <w:bottom w:w="80" w:type="dxa"/>
              <w:right w:w="140" w:type="dxa"/>
            </w:tcMar>
          </w:tcPr>
          <w:p w:rsidR="005D5F4C" w:rsidRDefault="00000000" w14:paraId="5A740582" w14:textId="77777777">
            <w:pPr>
              <w:spacing w:line="240" w:lineRule="auto"/>
              <w:rPr>
                <w:sz w:val="20"/>
                <w:szCs w:val="20"/>
              </w:rPr>
            </w:pPr>
            <w:r>
              <w:rPr>
                <w:b/>
                <w:bCs/>
                <w:color w:val="1B2A4A"/>
                <w:sz w:val="20"/>
                <w:szCs w:val="20"/>
              </w:rPr>
              <w:t>11/23/26</w:t>
            </w:r>
          </w:p>
        </w:tc>
        <w:tc>
          <w:tcPr>
            <w:tcW w:w="7760" w:type="dxa"/>
            <w:tcBorders>
              <w:top w:val="nil"/>
              <w:left w:val="nil"/>
              <w:bottom w:val="nil"/>
              <w:right w:val="nil"/>
            </w:tcBorders>
            <w:shd w:val="clear" w:color="auto" w:fill="FFFFFF" w:themeFill="background1"/>
            <w:tcMar>
              <w:top w:w="80" w:type="dxa"/>
              <w:left w:w="140" w:type="dxa"/>
              <w:bottom w:w="80" w:type="dxa"/>
              <w:right w:w="140" w:type="dxa"/>
            </w:tcMar>
          </w:tcPr>
          <w:p w:rsidR="005D5F4C" w:rsidRDefault="00000000" w14:paraId="300434FA" w14:textId="1F86052B">
            <w:pPr>
              <w:spacing w:line="240" w:lineRule="auto"/>
              <w:rPr>
                <w:sz w:val="20"/>
                <w:szCs w:val="20"/>
              </w:rPr>
            </w:pPr>
            <w:r w:rsidRPr="05E3AA27" w:rsidR="278A8106">
              <w:rPr>
                <w:color w:val="444444"/>
                <w:sz w:val="20"/>
                <w:szCs w:val="20"/>
              </w:rPr>
              <w:t>Presentations Day</w:t>
            </w:r>
          </w:p>
        </w:tc>
      </w:tr>
    </w:tbl>
    <w:sectPr w:rsidR="005D5F4C">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3FE30347-F97D-0D40-AFD8-16896523AC33}" r:id="rId1"/>
  </w:font>
  <w:font w:name="Arial">
    <w:panose1 w:val="020B0604020202020204"/>
    <w:charset w:val="00"/>
    <w:family w:val="swiss"/>
    <w:pitch w:val="variable"/>
    <w:sig w:usb0="E0002AFF" w:usb1="C0007843" w:usb2="00000009" w:usb3="00000000" w:csb0="000001FF" w:csb1="00000000"/>
    <w:embedRegular w:fontKey="{0F0315ED-3677-1D48-A434-D965CAA31B70}" r:id="rId2"/>
    <w:embedBold w:fontKey="{F819670D-D165-4841-9B6B-90553AA4EAC6}" r:id="rId3"/>
  </w:font>
  <w:font w:name="Georgia">
    <w:panose1 w:val="02040502050405020303"/>
    <w:charset w:val="00"/>
    <w:family w:val="roman"/>
    <w:pitch w:val="variable"/>
    <w:sig w:usb0="00000287" w:usb1="00000000" w:usb2="00000000" w:usb3="00000000" w:csb0="0000009F" w:csb1="00000000"/>
    <w:embedBold w:fontKey="{DC20CEDE-CFE9-D94C-9825-0C151AF79A37}" r:id="rId4"/>
    <w:embedItalic w:fontKey="{C2B1B825-3EEE-BF42-B28E-1F6A72D11CE9}" r:id="rId5"/>
  </w:font>
  <w:font w:name="Calibri">
    <w:panose1 w:val="020F0502020204030204"/>
    <w:charset w:val="00"/>
    <w:family w:val="swiss"/>
    <w:pitch w:val="variable"/>
    <w:sig w:usb0="E0002AFF" w:usb1="C000247B" w:usb2="00000009" w:usb3="00000000" w:csb0="000001FF" w:csb1="00000000"/>
    <w:embedRegular w:fontKey="{7774A19E-AE4D-E64B-8113-D6F44C84F1C8}" r:id="rId6"/>
    <w:embedBold w:fontKey="{A0E5564C-DAA7-7343-8F24-B25B1897CFB1}" r:id="rId7"/>
    <w:embedItalic w:fontKey="{895BF033-533B-FE45-89C4-8CB8AC5E4F65}" r:id="rId8"/>
  </w:font>
  <w:font w:name="Cambria">
    <w:panose1 w:val="02040503050406030204"/>
    <w:charset w:val="00"/>
    <w:family w:val="roman"/>
    <w:pitch w:val="default"/>
    <w:embedRegular w:fontKey="{364529C4-C32E-714B-A103-A80655C6BDB4}" r:id="rI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2A6707"/>
    <w:multiLevelType w:val="multilevel"/>
    <w:tmpl w:val="91AA991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3385782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4C"/>
    <w:rsid w:val="00000000"/>
    <w:rsid w:val="00117F2E"/>
    <w:rsid w:val="005D5F4C"/>
    <w:rsid w:val="009960EE"/>
    <w:rsid w:val="00BC7F68"/>
    <w:rsid w:val="050B89AC"/>
    <w:rsid w:val="05E3AA27"/>
    <w:rsid w:val="13A5F014"/>
    <w:rsid w:val="1B686B29"/>
    <w:rsid w:val="1D34D372"/>
    <w:rsid w:val="1FEAC25E"/>
    <w:rsid w:val="27520F3E"/>
    <w:rsid w:val="278A8106"/>
    <w:rsid w:val="312CC313"/>
    <w:rsid w:val="430B695D"/>
    <w:rsid w:val="43791FA9"/>
    <w:rsid w:val="53960DF3"/>
    <w:rsid w:val="56DE004C"/>
    <w:rsid w:val="5D20AC2D"/>
    <w:rsid w:val="5F8AA498"/>
    <w:rsid w:val="638DF014"/>
    <w:rsid w:val="7208B1D2"/>
    <w:rsid w:val="783493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87B3B08"/>
  <w15:docId w15:val="{DB85AD7E-E017-BE4E-AD59-DED1C675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Jalali, Rustin</lastModifiedBy>
  <revision>5</revision>
  <dcterms:created xsi:type="dcterms:W3CDTF">2026-08-03T20:11:00.0000000Z</dcterms:created>
  <dcterms:modified xsi:type="dcterms:W3CDTF">2026-08-06T17:50:22.3301446Z</dcterms:modified>
</coreProperties>
</file>