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 A — Diagnosing Misleading Charts</w:t>
      </w:r>
    </w:p>
    <w:p>
      <w:pPr>
        <w:jc w:val="center"/>
      </w:pPr>
      <w:r>
        <w:t>Name: Esha Asif    Roll no: BSAI 7A 034</w:t>
      </w:r>
    </w:p>
    <w:p>
      <w:r>
        <w:t>The examples below use synthetic data generated for CDB601220. Each diagnosis explains the impression a chart creates, checks the likely explanation, identifies the issue in the data or design, and suggests a clearer alternative.</w:t>
      </w:r>
    </w:p>
    <w:p>
      <w:pPr>
        <w:pStyle w:val="Heading1"/>
      </w:pPr>
      <w:r>
        <w:t>1. Premium helmets look more dangerous</w:t>
      </w:r>
    </w:p>
    <w:p>
      <w:r>
        <w:rPr>
          <w:b/>
        </w:rPr>
        <w:t xml:space="preserve">What the chart suggests: </w:t>
      </w:r>
      <w:r>
        <w:t>At first glance, Premium helmets seem less safe because the chart shows 5.40 head injuries per 1,000 trips, compared with 2.15 for Standard helmets.</w:t>
      </w:r>
    </w:p>
    <w:p>
      <w:r>
        <w:rPr>
          <w:b/>
        </w:rPr>
        <w:t xml:space="preserve">Checking the obvious explanation: </w:t>
      </w:r>
      <w:r>
        <w:t>This difference is not explained by riders taking more trips or having less experience. Each rider completed 100 trips, and average experience was almost identical: 31.4 months for Premium users and 31.5 months for Standard users.</w:t>
      </w:r>
    </w:p>
    <w:p>
      <w:r>
        <w:rPr>
          <w:b/>
        </w:rPr>
        <w:t xml:space="preserve">What the data actually shows: </w:t>
      </w:r>
      <w:r>
        <w:t>The road type is the important hidden factor. About 85% of Premium riders used motorways, where average speed was 67 kph, while only 3.3% of Standard riders did, at an average of 30 kph. Motorways also had more injuries: 6.1 per 1,000 trips compared with 1.4 on inner-city lanes. After comparing riders on the same road type, Premium helmets had lower injury rates in every category: 6.0 versus 8.0 on motorways, 2.2 versus 3.0 on city arterials, and 1.0 versus 1.39 on inner-city lanes. This is an example of Simpson’s paradox.</w:t>
      </w:r>
    </w:p>
    <w:p>
      <w:r>
        <w:rPr>
          <w:b/>
        </w:rPr>
        <w:t xml:space="preserve">Suggested redesign: </w:t>
      </w:r>
      <w:r>
        <w:t>Use grouped bars to compare the injury rate for each helmet grade within each road type, rather than combining all roads into one overall rate.</w:t>
      </w:r>
    </w:p>
    <w:p>
      <w:pPr>
        <w:pStyle w:val="Heading1"/>
      </w:pPr>
      <w:r>
        <w:t>2. Chai sales appear to cause quiz failures</w:t>
      </w:r>
    </w:p>
    <w:p>
      <w:r>
        <w:rPr>
          <w:b/>
        </w:rPr>
        <w:t xml:space="preserve">What the chart suggests: </w:t>
      </w:r>
      <w:r>
        <w:t>The chart makes chai sales and quiz failures look strongly connected, with the brief reporting a correlation of 0.93.</w:t>
      </w:r>
    </w:p>
    <w:p>
      <w:r>
        <w:rPr>
          <w:b/>
        </w:rPr>
        <w:t xml:space="preserve">Checking the obvious explanation: </w:t>
      </w:r>
      <w:r>
        <w:t>Exam periods do not seem to explain the relationship. Exam month has a correlation of only 0.06 with chai sales, and the chai-failure correlation remains 0.996 in both exam and non-exam months. One detail needs checking: calculating from the file gives an overall correlation of about 0.98, not 0.93.</w:t>
      </w:r>
    </w:p>
    <w:p>
      <w:r>
        <w:rPr>
          <w:b/>
        </w:rPr>
        <w:t xml:space="preserve">What the data actually shows: </w:t>
      </w:r>
      <w:r>
        <w:t>The university grew substantially during the period. Enrolment increased from 1,765 to 5,406 students, and the number of students can make both total chai sales and total failures rise together. Once the figures are expressed per student, chai purchases stay between 1.97 and 2.21 cups per student, while failure rates range from 3.2% to 4.0%. The correlation falls to 0.29. The original relationship therefore does not establish that chai causes failures.</w:t>
      </w:r>
    </w:p>
    <w:p>
      <w:r>
        <w:rPr>
          <w:b/>
        </w:rPr>
        <w:t xml:space="preserve">Suggested redesign: </w:t>
      </w:r>
      <w:r>
        <w:t>Plot cups bought per student against the percentage of students who failed. This controls for the changing student population and gives a more useful comparison.</w:t>
      </w:r>
    </w:p>
    <w:p>
      <w:pPr>
        <w:pStyle w:val="Heading1"/>
      </w:pPr>
      <w:r>
        <w:t>3. The policy seems to have reduced Lahore’s AQI</w:t>
      </w:r>
    </w:p>
    <w:p>
      <w:r>
        <w:rPr>
          <w:b/>
        </w:rPr>
        <w:t xml:space="preserve">What the chart suggests: </w:t>
      </w:r>
      <w:r>
        <w:t>The average AQI appears to fall by 32.1%, from 202.1 before 2 March to 137.2 afterwards, making it look as though the Smog Action Plan cleaned the air.</w:t>
      </w:r>
    </w:p>
    <w:p>
      <w:r>
        <w:rPr>
          <w:b/>
        </w:rPr>
        <w:t xml:space="preserve">Checking the obvious explanation: </w:t>
      </w:r>
      <w:r>
        <w:t>A possible explanation is that air quality naturally improves as the season changes. However, the 13 stations that reported in all four months had almost the same average before and after: 137.09 and 137.21.</w:t>
      </w:r>
    </w:p>
    <w:p>
      <w:r>
        <w:rPr>
          <w:b/>
        </w:rPr>
        <w:t xml:space="preserve">What the data actually shows: </w:t>
      </w:r>
      <w:r>
        <w:t>The stations included in the average changed. On 2 March, nine stations stopped reporting: all six Industrial stations and three Arterial stations. Before going offline, these stations averaged an AQI of 296.0. That means 540 of 2,640 rows were missing after the change, and the average was calculated from the remaining, cleaner stations. The apparent improvement may therefore be caused by the change in reporting stations rather than a real fall in pollution.</w:t>
      </w:r>
    </w:p>
    <w:p>
      <w:r>
        <w:rPr>
          <w:b/>
        </w:rPr>
        <w:t xml:space="preserve">Suggested redesign: </w:t>
      </w:r>
      <w:r>
        <w:t>Plot the stations that reported throughout the period as one group, and show the nine stations that went offline separately.</w:t>
      </w:r>
    </w:p>
    <w:p>
      <w:pPr>
        <w:pStyle w:val="Heading1"/>
      </w:pPr>
      <w:r>
        <w:t>4. Four departments appear identical</w:t>
      </w:r>
    </w:p>
    <w:p>
      <w:r>
        <w:rPr>
          <w:b/>
        </w:rPr>
        <w:t xml:space="preserve">What the chart suggests: </w:t>
      </w:r>
      <w:r>
        <w:t>The four departments seem to have the same relationship between study hours and marks, which could lead someone to assume that they perform in the same way.</w:t>
      </w:r>
    </w:p>
    <w:p>
      <w:r>
        <w:rPr>
          <w:b/>
        </w:rPr>
        <w:t xml:space="preserve">Checking the obvious explanation: </w:t>
      </w:r>
      <w:r>
        <w:t>The similarity is not just a result of different sample sizes. Each department has 11 students, and the summary statistics match to three decimal places: mean study time is 18.0 hours, mean marks are 14.5, correlation is 0.816, and the slope is 0.25.</w:t>
      </w:r>
    </w:p>
    <w:p>
      <w:r>
        <w:rPr>
          <w:b/>
        </w:rPr>
        <w:t xml:space="preserve">What the data actually shows: </w:t>
      </w:r>
      <w:r>
        <w:t>This is an example of Anscombe’s quartet: matching summary statistics can hide very different patterns. Computer Science follows a roughly straight-line pattern. Business Administration follows a curve, with marks peaking around 22 study hours before falling. Electrical Engineering is almost a perfect line, but one student sitting 4.2 marks above it changes the slope. In Architecture, ten students have exactly 16 study hours, and one student at 38 hours largely determines the fitted slope.</w:t>
      </w:r>
    </w:p>
    <w:p>
      <w:r>
        <w:rPr>
          <w:b/>
        </w:rPr>
        <w:t xml:space="preserve">Suggested redesign: </w:t>
      </w:r>
      <w:r>
        <w:t>Create a separate scatter plot for each department and include an appropriate fitted line. The separate panels reveal patterns that the summary statistics hide.</w:t>
      </w:r>
    </w:p>
    <w:p>
      <w:pPr>
        <w:pStyle w:val="Heading1"/>
      </w:pPr>
      <w:r>
        <w:t>5. Five cohorts have matching statistics but different shapes</w:t>
      </w:r>
    </w:p>
    <w:p>
      <w:r>
        <w:rPr>
          <w:b/>
        </w:rPr>
        <w:t xml:space="preserve">What the chart suggests: </w:t>
      </w:r>
      <w:r>
        <w:t>The five cohorts appear to represent similar populations because their main summary statistics match.</w:t>
      </w:r>
    </w:p>
    <w:p>
      <w:r>
        <w:rPr>
          <w:b/>
        </w:rPr>
        <w:t xml:space="preserve">Checking the obvious explanation: </w:t>
      </w:r>
      <w:r>
        <w:t>Each cohort contains 180 students, and the statistics match to two decimal places: mean values are 48.00 and 63.00, standard deviations are 12.00 and 15.00, and the correlation is 0.420.</w:t>
      </w:r>
    </w:p>
    <w:p>
      <w:r>
        <w:rPr>
          <w:b/>
        </w:rPr>
        <w:t xml:space="preserve">What the data actually shows: </w:t>
      </w:r>
      <w:r>
        <w:t>The same summary statistics do not guarantee the same distribution. The point patterns form a line, a ring, a star, two clusters, and an X. In the ring, points lie at almost the same distance from the centre, with a radius standard deviation of 0.22 compared with 0.50–0.75 in the other groups. In the two-cluster cohort, the overall positive correlation is misleading because the correlations inside the two clusters are negative: -0.45 and -0.57.</w:t>
      </w:r>
    </w:p>
    <w:p>
      <w:r>
        <w:rPr>
          <w:b/>
        </w:rPr>
        <w:t xml:space="preserve">Suggested redesign: </w:t>
      </w:r>
      <w:r>
        <w:t>Use a faceted scatter plot with one panel for each cohort so that the shape of every group is visible.</w:t>
      </w:r>
    </w:p>
    <w:p>
      <w:pPr>
        <w:pStyle w:val="Heading1"/>
      </w:pPr>
      <w:r>
        <w:t>6. A heatmap suggests a strong medical relationship</w:t>
      </w:r>
    </w:p>
    <w:p>
      <w:r>
        <w:rPr>
          <w:b/>
        </w:rPr>
        <w:t xml:space="preserve">What the chart suggests: </w:t>
      </w:r>
      <w:r>
        <w:t>The heatmap highlights a correlation of about 0.77 between creatinine and HbA1c, suggesting that this pair may be worth investigating.</w:t>
      </w:r>
    </w:p>
    <w:p>
      <w:r>
        <w:rPr>
          <w:b/>
        </w:rPr>
        <w:t xml:space="preserve">Checking the obvious explanation: </w:t>
      </w:r>
      <w:r>
        <w:t>Because 20 variables create 190 possible pairs, a strong result could arise by chance when so many relationships are checked. Here, however, the reported p-value is 7e-36, far below the Bonferroni threshold of 0.05/190, or about 2.6e-4. Controlling for age also leaves the correlation at 0.764.</w:t>
      </w:r>
    </w:p>
    <w:p>
      <w:r>
        <w:rPr>
          <w:b/>
        </w:rPr>
        <w:t xml:space="preserve">What the data actually shows: </w:t>
      </w:r>
      <w:r>
        <w:t>One extreme observation is driving the result. A 30-year-old participant at Site C has HbA1c of 15.8 and creatinine of 1,050 µmol/L, while the other creatinine values are no higher than about 111. Removing that row changes the correlation from 0.765 to -0.004. Spearman’s correlation is 0.03, which also suggests there is no consistent overall relationship. The site-level results differ as well: Site C has a correlation of 0.92, while the other sites show -0.05, 0.34, and -0.11.</w:t>
      </w:r>
    </w:p>
    <w:p>
      <w:r>
        <w:rPr>
          <w:b/>
        </w:rPr>
        <w:t xml:space="preserve">Suggested redesign: </w:t>
      </w:r>
      <w:r>
        <w:t>Inspect a scatter plot of HbA1c and creatinine, using site to distinguish groups, and examine the extreme observation before treating the heatmap result as a general finding.</w:t>
      </w:r>
    </w:p>
    <w:p>
      <w:pPr>
        <w:pStyle w:val="Heading1"/>
      </w:pPr>
      <w:r>
        <w:t>7. ShaheenGo appears to lose money until May</w:t>
      </w:r>
    </w:p>
    <w:p>
      <w:r>
        <w:rPr>
          <w:b/>
        </w:rPr>
        <w:t xml:space="preserve">What the chart suggests: </w:t>
      </w:r>
      <w:r>
        <w:t>The revenue and cost lines cross in May, creating the impression that the business was losing money before that month.</w:t>
      </w:r>
    </w:p>
    <w:p>
      <w:r>
        <w:rPr>
          <w:b/>
        </w:rPr>
        <w:t xml:space="preserve">Checking the obvious explanation: </w:t>
      </w:r>
      <w:r>
        <w:t>The issue is not a mismatch in units or a truncated axis: both values are measured in PKR millions, and a single zero-based axis shows revenue above cost throughout the six months.</w:t>
      </w:r>
    </w:p>
    <w:p>
      <w:r>
        <w:rPr>
          <w:b/>
        </w:rPr>
        <w:t xml:space="preserve">What the data actually shows: </w:t>
      </w:r>
      <w:r>
        <w:t>The misleading crossing is caused by using two separate y-axes. Each axis can be scaled differently, so the visual point where the lines cross is not reliable evidence of a loss. The actual figures show that profit grows from PKR 8 million to PKR 25 million, while revenue rises by 50% and costs rise by 20%.</w:t>
      </w:r>
    </w:p>
    <w:p>
      <w:r>
        <w:rPr>
          <w:b/>
        </w:rPr>
        <w:t xml:space="preserve">Suggested redesign: </w:t>
      </w:r>
      <w:r>
        <w:t>Draw revenue and cost on one shared axis and shade the space between the lines to make the positive gap clear.</w:t>
      </w:r>
    </w:p>
    <w:p>
      <w:pPr>
        <w:pStyle w:val="Heading1"/>
      </w:pPr>
      <w:r>
        <w:t>8. Changing histogram bins changes the apparent finding</w:t>
      </w:r>
    </w:p>
    <w:p>
      <w:r>
        <w:rPr>
          <w:b/>
        </w:rPr>
        <w:t xml:space="preserve">What the chart suggests: </w:t>
      </w:r>
      <w:r>
        <w:t>Three different bin widths seem to show three different distributions, which may make the underlying pattern appear uncertain.</w:t>
      </w:r>
    </w:p>
    <w:p>
      <w:r>
        <w:rPr>
          <w:b/>
        </w:rPr>
        <w:t xml:space="preserve">Checking the obvious explanation: </w:t>
      </w:r>
      <w:r>
        <w:t>The dataset contains 10,000 records, so the different appearances are not simply due to a very small sample.</w:t>
      </w:r>
    </w:p>
    <w:p>
      <w:r>
        <w:rPr>
          <w:b/>
        </w:rPr>
        <w:t xml:space="preserve">What the data actually shows: </w:t>
      </w:r>
      <w:r>
        <w:t>The bin width is responsible for much of the change. With a width of around 36 mmHg, the histogram shows one broad peak. Widths from about 5 to 21 mmHg reveal two peaks, while widths of 1 mmHg or about 2.7 mmHg create several small peaks because the measurements are recorded as whole numbers. The more stable pattern is two groups, with a valley near 141 mmHg; about 41.6% of patients are at or above that value. The exact widths should be checked against the chart being submitted.</w:t>
      </w:r>
    </w:p>
    <w:p>
      <w:r>
        <w:rPr>
          <w:b/>
        </w:rPr>
        <w:t xml:space="preserve">Suggested redesign: </w:t>
      </w:r>
      <w:r>
        <w:t>Choose one defensible bin width, state it on the chart, and explain why it shows the distribution without introducing misleading detail.</w:t>
      </w:r>
    </w:p>
    <w:p>
      <w:pPr>
        <w:pStyle w:val="Heading1"/>
      </w:pPr>
      <w:r>
        <w:t>9. A density curve extends beyond the physical limit</w:t>
      </w:r>
    </w:p>
    <w:p>
      <w:r>
        <w:rPr>
          <w:b/>
        </w:rPr>
        <w:t xml:space="preserve">What the chart suggests: </w:t>
      </w:r>
      <w:r>
        <w:t>The KDE curve appears to place 4.4% of the oxygen-saturation density above 100%, which could be mistaken for impossible patient readings.</w:t>
      </w:r>
    </w:p>
    <w:p>
      <w:r>
        <w:rPr>
          <w:b/>
        </w:rPr>
        <w:t xml:space="preserve">Checking the obvious explanation: </w:t>
      </w:r>
      <w:r>
        <w:t>The raw values do not exceed 100. The maximum is exactly 100, and all readings are whole numbers.</w:t>
      </w:r>
    </w:p>
    <w:p>
      <w:r>
        <w:rPr>
          <w:b/>
        </w:rPr>
        <w:t xml:space="preserve">What the data actually shows: </w:t>
      </w:r>
      <w:r>
        <w:t>The issue comes from smoothing, not from the recorded measurements. There are 304 readings, or 3.0%, at the 100% ceiling. A Gaussian KDE spreads some of this density beyond the limit. The amount depends on the bandwidth: the spill is 1.6% at the default bandwidth of 0.35 points, 3.0% at twice that value, and 4.4% at roughly 2.6 times the default.</w:t>
      </w:r>
    </w:p>
    <w:p>
      <w:r>
        <w:rPr>
          <w:b/>
        </w:rPr>
        <w:t xml:space="preserve">Suggested redesign: </w:t>
      </w:r>
      <w:r>
        <w:t>Use a discrete bar chart for the whole-number readings and set the horizontal axis to stop at the physical upper limit, while leaving room to show the 100% bar.</w:t>
      </w:r>
    </w:p>
    <w:p>
      <w:pPr>
        <w:pStyle w:val="Heading1"/>
      </w:pPr>
      <w:r>
        <w:t>Overall lesson</w:t>
      </w:r>
    </w:p>
    <w:p>
      <w:r>
        <w:t>A chart can look convincing and still tell the wrong story if it hides a relevant group, changes the sample, uses an unsuitable scale, or relies on a summary statistic alone. I would check the underlying data and the way it is displayed before accepting the first impression.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