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 E — Why I Designed the Figures This Way</w:t>
      </w:r>
    </w:p>
    <w:p>
      <w:pPr>
        <w:jc w:val="center"/>
      </w:pPr>
      <w:r>
        <w:t>Name: Esha Asif    Roll no: BSAI 7A 034</w:t>
      </w:r>
    </w:p>
    <w:p>
      <w:r>
        <w:t>Dataset: synthetic vitals_10k.csv (CDB601220). This section explains the main choices behind the four panels, including what was excluded and what those decisions mean for interpreting the charts.</w:t>
      </w:r>
    </w:p>
    <w:p>
      <w:pPr>
        <w:pStyle w:val="Heading1"/>
      </w:pPr>
      <w:r>
        <w:t>1. Purpose of each panel</w:t>
      </w:r>
    </w:p>
    <w:p>
      <w:r>
        <w:rPr>
          <w:b/>
        </w:rPr>
        <w:t xml:space="preserve">Panel 1 — Systolic blood pressure: </w:t>
      </w:r>
      <w:r>
        <w:t>I used a histogram to check whether systolic blood pressure looks like one population or more than one. The distribution has two clear peaks, with a low point around 141 mmHg, and about 42% of patients fall in the higher group. A histogram makes this shape easier to see than a single average or box plot. The bars share a common baseline, so their heights can be compared by position. Colour is used only to distinguish the two groups.</w:t>
      </w:r>
    </w:p>
    <w:p>
      <w:r>
        <w:rPr>
          <w:b/>
        </w:rPr>
        <w:t xml:space="preserve">Panel 2 — Length of stay by ward: </w:t>
      </w:r>
      <w:r>
        <w:t>This panel compares the typical stay and spread for four wards. Box plots work well here because length of stay is skewed and can include unusually long stays. I ordered the wards by their median so that the ranking is easy to follow. ICU is the only highlighted ward, keeping the colour focused on one message. I used a log scale because stays range from 0.01 to 30 days; on a linear scale, the smaller values would be difficult to distinguish.</w:t>
      </w:r>
    </w:p>
    <w:p>
      <w:r>
        <w:rPr>
          <w:b/>
        </w:rPr>
        <w:t xml:space="preserve">Panel 3 — Age and cholesterol: </w:t>
      </w:r>
      <w:r>
        <w:t>The scatter plot checks whether age and cholesterol show a linear relationship. Since both variables are continuous, placing them on two aligned axes lets readers compare their values directly. The fitted line uses all 10,000 rows and has a slope of 0.21 mmol/L per decade.</w:t>
      </w:r>
    </w:p>
    <w:p>
      <w:r>
        <w:rPr>
          <w:b/>
        </w:rPr>
        <w:t xml:space="preserve">Panel 4 — Correlation heatmap: </w:t>
      </w:r>
      <w:r>
        <w:t>The heatmap gives a quick overview of relationships across 36 variable pairs and helps identify which pairs deserve a closer look. I used the RdBu_r diverging palette because correlations can be positive or negative. The scale runs from -1 to +1 and is centred at zero, so the colours have a consistent meaning. I masked the upper triangle because it repeats the lower triangle, and printed the correlation values in the cells so readers do not have to estimate the numbers from colour alone.</w:t>
      </w:r>
    </w:p>
    <w:p>
      <w:pPr>
        <w:pStyle w:val="Heading1"/>
      </w:pPr>
      <w:r>
        <w:t>2. Design decisions and their trade-offs</w:t>
      </w:r>
    </w:p>
    <w:p>
      <w:r>
        <w:rPr>
          <w:b/>
        </w:rPr>
        <w:t xml:space="preserve">Histogram bin width: </w:t>
      </w:r>
      <w:r>
        <w:t>I tested widths of 1, 2, 5, and 10 mmHg. A width of 1 produced extra peaks because the data is recorded in whole numbers, while widths of 5 and 10 blurred the valley between the two main groups. I chose 2 mmHg because it keeps the two peaks visible without overemphasising small fluctuations. The valley at 141 mmHg was calculated using the minimum of a five-bin moving average between 130 and 160, rather than selected by eye.</w:t>
      </w:r>
    </w:p>
    <w:p>
      <w:r>
        <w:rPr>
          <w:b/>
        </w:rPr>
        <w:t xml:space="preserve">Log scale and zero-day stays: </w:t>
      </w:r>
      <w:r>
        <w:t>The log scale makes the wide range of stay lengths readable, but it cannot display values of exactly zero. Two zero-day stays are therefore not shown in this panel. I kept the outlier points visible so that unusually long stays were not hidden.</w:t>
      </w:r>
    </w:p>
    <w:p>
      <w:r>
        <w:rPr>
          <w:b/>
        </w:rPr>
        <w:t xml:space="preserve">Scatter and heatmap settings: </w:t>
      </w:r>
      <w:r>
        <w:t>I plotted a sample of 2,000 of the 10,000 points using seed 7 and transparency of 0.35 to reduce overplotting. For the heatmap, I fixed the colour limits at -1 and +1, centred the palette at zero, showed two decimal places, and masked the repeated half of the matrix. I left map_mmhg out because it is calculated from systolic and diastolic pressure, so its correlations with those variables partly reflect the formula itself.</w:t>
      </w:r>
    </w:p>
    <w:p>
      <w:r>
        <w:rPr>
          <w:b/>
        </w:rPr>
        <w:t xml:space="preserve">Colour and export: </w:t>
      </w:r>
      <w:r>
        <w:t>I used the course’s Okabe–Ito blue and orange palette to make the groups easier to distinguish, including for many viewers with colour-vision deficiencies. The figure was exported at 300 DPI with a tight bounding box and a source note.</w:t>
      </w:r>
    </w:p>
    <w:p>
      <w:pPr>
        <w:pStyle w:val="Heading1"/>
      </w:pPr>
      <w:r>
        <w:t>3. Data cleaning and its effects</w:t>
      </w:r>
    </w:p>
    <w:p>
      <w:r>
        <w:rPr>
          <w:b/>
        </w:rPr>
        <w:t xml:space="preserve">Ward names and dates: </w:t>
      </w:r>
      <w:r>
        <w:t>No ward rows were removed. I standardised 12 ward-name spellings into four ward categories and parsed the three date formats separately. The slash-formatted dates were interpreted as day-first because 1,933 of them have a first field above 12, while none has a second field above 12.</w:t>
      </w:r>
    </w:p>
    <w:p>
      <w:r>
        <w:rPr>
          <w:b/>
        </w:rPr>
        <w:t xml:space="preserve">BMI placeholders: </w:t>
      </w:r>
      <w:r>
        <w:t>I treated BMI values of 0 and 999 as missing because they appear to be placeholders. This affected 486 values: 402 recorded as 999 and 84 recorded as 0. The mean BMI changed from 66.18 to 27.35 kg/m².</w:t>
      </w:r>
    </w:p>
    <w:p>
      <w:r>
        <w:rPr>
          <w:b/>
        </w:rPr>
        <w:t xml:space="preserve">Very long stays: </w:t>
      </w:r>
      <w:r>
        <w:t>I excluded 18 stays longer than 60 days, which ranged from 140 to 274 days. These may have been hours entered into a days field, but that explanation cannot be confirmed, so I did not convert them. The mean length of stay fell from 2.31 to 1.95 days.</w:t>
      </w:r>
    </w:p>
    <w:p>
      <w:r>
        <w:rPr>
          <w:b/>
        </w:rPr>
        <w:t xml:space="preserve">Heart-rate readings: </w:t>
      </w:r>
      <w:r>
        <w:t>I removed 29 readings above 250 bpm and eight readings of 0 bpm, for 37 values in total, while keeping the other information in those rows. The mean heart rate changed from 78.83 to 78.05 bpm. I also generated a version without this exclusion as a check. No correlation involving heart rate changed by more than 0.02, and heart rate is not used for a main conclusion.</w:t>
      </w:r>
    </w:p>
    <w:p>
      <w:r>
        <w:rPr>
          <w:b/>
        </w:rPr>
        <w:t xml:space="preserve">Other limitations kept visible: </w:t>
      </w:r>
      <w:r>
        <w:t>The calculated map_mmhg variable was excluded from the heatmap because it is derived from other blood-pressure variables. I also noted that 304 SpO2 readings are at the 100% ceiling, and that risk_score is a ratio, so averaging it across wards would not be appropriate.</w:t>
      </w:r>
    </w:p>
    <w:p>
      <w:pPr>
        <w:pStyle w:val="Heading1"/>
      </w:pPr>
      <w:r>
        <w:t>4. Reflection on the cleaning choices</w:t>
      </w:r>
    </w:p>
    <w:p>
      <w:r>
        <w:t>I would keep the same cleaning rules even if they changed the conclusion. The heart-rate limits were based on plausible physiology and were set before checking their effect on the results. Values of 0 bpm or above 250 bpm are not credible as ordinary readings in this dataset. At the same time, I did not silently change the very long stays into days because the suspected unit error is only an assumption. Recording the exclusions and checking their effect makes the analysis more transparent.</w:t>
      </w:r>
    </w:p>
    <w:p>
      <w:r>
        <w:t>Overall, I tried to make each panel answer one question, reduce decoration that does not add information, and show the limits of the data rather than hide them. Some choices, such as the log scale and the exclusions, have costs, so those costs should be stated alongside the findings.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