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1B4B" w:val="clear"/>
            <w:tcMar>
              <w:top w:type="dxa" w:w="480"/>
              <w:left w:type="dxa" w:w="480"/>
              <w:bottom w:type="dxa" w:w="480"/>
              <w:right w:type="dxa" w:w="480"/>
            </w:tcMar>
          </w:tcPr>
          <w:p>
            <w:pPr>
              <w:spacing w:after="80"/>
              <w:jc w:val="center"/>
            </w:pPr>
            <w:r>
              <w:rPr>
                <w:rFonts w:ascii="Arial" w:cs="Arial" w:eastAsia="Arial" w:hAnsi="Arial"/>
                <w:b/>
                <w:bCs/>
                <w:caps/>
                <w:color w:val="A5B4FC"/>
                <w:sz w:val="20"/>
                <w:szCs w:val="20"/>
              </w:rPr>
              <w:t xml:space="preserve">PRODUCT TEARDOWN</w:t>
            </w:r>
          </w:p>
          <w:p>
            <w:pPr>
              <w:spacing w:after="160"/>
              <w:jc w:val="center"/>
            </w:pPr>
            <w:r>
              <w:rPr>
                <w:rFonts w:ascii="Arial" w:cs="Arial" w:eastAsia="Arial" w:hAnsi="Arial"/>
                <w:b/>
                <w:bCs/>
                <w:color w:val="FFFFFF"/>
                <w:sz w:val="52"/>
                <w:szCs w:val="52"/>
              </w:rPr>
              <w:t xml:space="preserve">Vocallabs.ai</w:t>
            </w:r>
          </w:p>
          <w:p>
            <w:pPr>
              <w:spacing w:after="320"/>
              <w:jc w:val="center"/>
            </w:pPr>
            <w:r>
              <w:rPr>
                <w:rFonts w:ascii="Arial" w:cs="Arial" w:eastAsia="Arial" w:hAnsi="Arial"/>
                <w:i/>
                <w:iCs/>
                <w:color w:val="C4B5FD"/>
                <w:sz w:val="24"/>
                <w:szCs w:val="24"/>
              </w:rPr>
              <w:t xml:space="preserve">AI Voice Agents Automating Business Calls with Human-Like Fluency</w:t>
            </w:r>
          </w:p>
          <w:p>
            <w:pPr>
              <w:jc w:val="center"/>
            </w:pPr>
            <w:r>
              <w:rPr>
                <w:rFonts w:ascii="Arial" w:cs="Arial" w:eastAsia="Arial" w:hAnsi="Arial"/>
                <w:color w:val="A5B4FC"/>
                <w:sz w:val="20"/>
                <w:szCs w:val="20"/>
              </w:rPr>
              <w:t xml:space="preserve">Eshan Tiwari  ·  </w:t>
            </w:r>
            <w:r>
              <w:rPr>
                <w:rFonts w:ascii="Arial" w:cs="Arial" w:eastAsia="Arial" w:hAnsi="Arial"/>
                <w:color w:val="A5B4FC"/>
                <w:sz w:val="20"/>
                <w:szCs w:val="20"/>
              </w:rPr>
              <w:t xml:space="preserve">eshan.tiwari16@gmail.com  ·  </w:t>
            </w:r>
            <w:r>
              <w:rPr>
                <w:rFonts w:ascii="Arial" w:cs="Arial" w:eastAsia="Arial" w:hAnsi="Arial"/>
                <w:color w:val="A5B4FC"/>
                <w:sz w:val="20"/>
                <w:szCs w:val="20"/>
              </w:rPr>
              <w:t xml:space="preserve">May 2026</w:t>
            </w:r>
          </w:p>
        </w:tc>
      </w:tr>
    </w:tbl>
    <w:p>
      <w:pPr>
        <w:spacing w:after="200" w:before="2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left w:val="single" w:color="7C3AED" w:sz="16"/>
            </w:tcBorders>
            <w:shd w:fill="F5F3FF" w:val="clear"/>
            <w:tcMar>
              <w:top w:type="dxa" w:w="160"/>
              <w:left w:type="dxa" w:w="240"/>
              <w:bottom w:type="dxa" w:w="160"/>
              <w:right w:type="dxa" w:w="240"/>
            </w:tcMar>
          </w:tcPr>
          <w:p>
            <w:pPr>
              <w:spacing w:after="60"/>
            </w:pPr>
            <w:r>
              <w:rPr>
                <w:rFonts w:ascii="Arial" w:cs="Arial" w:eastAsia="Arial" w:hAnsi="Arial"/>
                <w:b/>
                <w:bCs/>
                <w:color w:val="7C3AED"/>
                <w:sz w:val="22"/>
                <w:szCs w:val="22"/>
              </w:rPr>
              <w:t xml:space="preserve">Why I chose Vocallabs over Subspace</w:t>
            </w:r>
          </w:p>
          <w:p>
            <w:r>
              <w:rPr>
                <w:rFonts w:ascii="Arial" w:cs="Arial" w:eastAsia="Arial" w:hAnsi="Arial"/>
                <w:color w:val="374151"/>
                <w:sz w:val="20"/>
                <w:szCs w:val="20"/>
              </w:rPr>
              <w:t xml:space="preserve">Subspace is the obvious pick. It's B2C, downloadable in two minutes, easy to poke around. Everyone will pick it. Vocallabs is harder — it's B2B, sales-led, and you can't even try the product without booking a call. But that's exactly why it's more interesting. The gaps aren't cosmetic. They're structural. And whoever fixes them is sitting on real leverage.</w:t>
            </w:r>
          </w:p>
        </w:tc>
      </w:tr>
    </w:tbl>
    <w:p>
      <w:pPr>
        <w:spacing w:after="120" w:before="120"/>
      </w:pPr>
      <w:r>
        <w:t xml:space="preserve"/>
      </w:r>
    </w:p>
    <w:p>
      <w:pPr>
        <w:pStyle w:val="Heading1"/>
      </w:pPr>
      <w:r>
        <w:t xml:space="preserve">How I Explored the Product</w:t>
      </w:r>
    </w:p>
    <w:p>
      <w:pPr>
        <w:spacing w:after="100"/>
      </w:pPr>
      <w:r>
        <w:rPr>
          <w:rFonts w:ascii="Arial" w:cs="Arial" w:eastAsia="Arial" w:hAnsi="Arial"/>
          <w:color w:val="374151"/>
          <w:sz w:val="20"/>
          <w:szCs w:val="20"/>
        </w:rPr>
        <w:t xml:space="preserve">I approached this as a buyer, a developer, and a skeptic:</w:t>
      </w:r>
    </w:p>
    <w:p>
      <w:pPr>
        <w:pStyle w:val="ListParagraph"/>
        <w:numPr>
          <w:ilvl w:val="0"/>
          <w:numId w:val="2"/>
        </w:numPr>
        <w:spacing w:after="80"/>
      </w:pPr>
      <w:r>
        <w:rPr>
          <w:rFonts w:ascii="Arial" w:cs="Arial" w:eastAsia="Arial" w:hAnsi="Arial"/>
          <w:color w:val="374151"/>
          <w:sz w:val="20"/>
          <w:szCs w:val="20"/>
        </w:rPr>
        <w:t xml:space="preserve">Went through vocallabs.ai start to finish — homepage, about, all 6 blogs, and the CTA flow — trying to answer: 'Would I trust this with my business calls?'</w:t>
      </w:r>
    </w:p>
    <w:p>
      <w:pPr>
        <w:pStyle w:val="ListParagraph"/>
        <w:numPr>
          <w:ilvl w:val="0"/>
          <w:numId w:val="2"/>
        </w:numPr>
        <w:spacing w:after="80"/>
      </w:pPr>
      <w:r>
        <w:rPr>
          <w:rFonts w:ascii="Arial" w:cs="Arial" w:eastAsia="Arial" w:hAnsi="Arial"/>
          <w:color w:val="374151"/>
          <w:sz w:val="20"/>
          <w:szCs w:val="20"/>
        </w:rPr>
        <w:t xml:space="preserve">Downloaded the Vocallabs Android app (com.vocallabs.app). Went through the onboarding. Tried to make something happen without booking a demo.</w:t>
      </w:r>
    </w:p>
    <w:p>
      <w:pPr>
        <w:pStyle w:val="ListParagraph"/>
        <w:numPr>
          <w:ilvl w:val="0"/>
          <w:numId w:val="2"/>
        </w:numPr>
        <w:spacing w:after="80"/>
      </w:pPr>
      <w:r>
        <w:rPr>
          <w:rFonts w:ascii="Arial" w:cs="Arial" w:eastAsia="Arial" w:hAnsi="Arial"/>
          <w:color w:val="374151"/>
          <w:sz w:val="20"/>
          <w:szCs w:val="20"/>
        </w:rPr>
        <w:t xml:space="preserve">Benchmarked the competitor landscape hands-on: Bolna's playground, VAPI's free tier, Retell's developer docs, Caller Digital's India buyer's guide. Used each one to understand where Vocallabs stands.</w:t>
      </w:r>
    </w:p>
    <w:p>
      <w:pPr>
        <w:pStyle w:val="ListParagraph"/>
        <w:numPr>
          <w:ilvl w:val="0"/>
          <w:numId w:val="2"/>
        </w:numPr>
        <w:spacing w:after="80"/>
      </w:pPr>
      <w:r>
        <w:rPr>
          <w:rFonts w:ascii="Arial" w:cs="Arial" w:eastAsia="Arial" w:hAnsi="Arial"/>
          <w:color w:val="374151"/>
          <w:sz w:val="20"/>
          <w:szCs w:val="20"/>
        </w:rPr>
        <w:t xml:space="preserve">Read all the blogs at vocallabs.ai/blogs looking for ICP signals — which verticals are they actually going after vs. which ones they just write about.</w:t>
      </w:r>
    </w:p>
    <w:p>
      <w:pPr>
        <w:pStyle w:val="ListParagraph"/>
        <w:numPr>
          <w:ilvl w:val="0"/>
          <w:numId w:val="2"/>
        </w:numPr>
        <w:spacing w:after="80"/>
      </w:pPr>
      <w:r>
        <w:rPr>
          <w:rFonts w:ascii="Arial" w:cs="Arial" w:eastAsia="Arial" w:hAnsi="Arial"/>
          <w:color w:val="374151"/>
          <w:sz w:val="20"/>
          <w:szCs w:val="20"/>
        </w:rPr>
        <w:t xml:space="preserve">Cross-checked product claims via Inc42, Crunchbase, and LinkedIn to separate the marketing narrative from what's actually shipped.</w:t>
      </w:r>
    </w:p>
    <w:p>
      <w:pPr>
        <w:spacing w:after="120" w:before="120"/>
      </w:pPr>
      <w:r>
        <w:t xml:space="preserve"/>
      </w:r>
    </w:p>
    <w:p>
      <w:pPr>
        <w:pStyle w:val="Heading1"/>
      </w:pPr>
      <w:r>
        <w:t xml:space="preserve">Prioritisation Logic</w:t>
      </w:r>
    </w:p>
    <w:p>
      <w:pPr>
        <w:spacing w:after="140"/>
      </w:pPr>
      <w:r>
        <w:rPr>
          <w:rFonts w:ascii="Arial" w:cs="Arial" w:eastAsia="Arial" w:hAnsi="Arial"/>
          <w:color w:val="374151"/>
          <w:sz w:val="20"/>
          <w:szCs w:val="20"/>
        </w:rPr>
        <w:t xml:space="preserve">Each feedback is tagged P0 (ship this quarter), P1 (next quarter), or P2 (6-month horizon) based on estimated revenue impact vs. build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800"/>
        <w:gridCol w:w="3000"/>
      </w:tblGrid>
      <w:tr>
        <w:trPr>
          <w:tblHeader/>
        </w:trPr>
        <w:tc>
          <w:tcPr>
            <w:tcW w:type="dxa" w:w="1560"/>
            <w:tcBorders>
              <w:top w:val="single" w:color="1E1B4B" w:sz="1"/>
              <w:left w:val="single" w:color="1E1B4B" w:sz="1"/>
              <w:bottom w:val="single" w:color="1E1B4B" w:sz="1"/>
              <w:right w:val="single" w:color="1E1B4B" w:sz="1"/>
            </w:tcBorders>
            <w:shd w:fill="1E1B4B" w:val="clear"/>
            <w:tcMar>
              <w:top w:type="dxa" w:w="120"/>
              <w:left w:type="dxa" w:w="160"/>
              <w:bottom w:type="dxa" w:w="120"/>
              <w:right w:type="dxa" w:w="160"/>
            </w:tcMar>
            <w:vAlign w:val="top"/>
          </w:tcPr>
          <w:p>
            <w:r>
              <w:rPr>
                <w:rFonts w:ascii="Arial" w:cs="Arial" w:eastAsia="Arial" w:hAnsi="Arial"/>
                <w:b/>
                <w:bCs/>
                <w:color w:val="FFFFFF"/>
                <w:sz w:val="19"/>
                <w:szCs w:val="19"/>
              </w:rPr>
              <w:t xml:space="preserve">Priority</w:t>
            </w:r>
          </w:p>
        </w:tc>
        <w:tc>
          <w:tcPr>
            <w:tcW w:type="dxa" w:w="2000"/>
            <w:tcBorders>
              <w:top w:val="single" w:color="1E1B4B" w:sz="1"/>
              <w:left w:val="single" w:color="1E1B4B" w:sz="1"/>
              <w:bottom w:val="single" w:color="1E1B4B" w:sz="1"/>
              <w:right w:val="single" w:color="1E1B4B" w:sz="1"/>
            </w:tcBorders>
            <w:shd w:fill="1E1B4B" w:val="clear"/>
            <w:tcMar>
              <w:top w:type="dxa" w:w="120"/>
              <w:left w:type="dxa" w:w="160"/>
              <w:bottom w:type="dxa" w:w="120"/>
              <w:right w:type="dxa" w:w="160"/>
            </w:tcMar>
            <w:vAlign w:val="top"/>
          </w:tcPr>
          <w:p>
            <w:r>
              <w:rPr>
                <w:rFonts w:ascii="Arial" w:cs="Arial" w:eastAsia="Arial" w:hAnsi="Arial"/>
                <w:b/>
                <w:bCs/>
                <w:color w:val="FFFFFF"/>
                <w:sz w:val="19"/>
                <w:szCs w:val="19"/>
              </w:rPr>
              <w:t xml:space="preserve">Feedback</w:t>
            </w:r>
          </w:p>
        </w:tc>
        <w:tc>
          <w:tcPr>
            <w:tcW w:type="dxa" w:w="2800"/>
            <w:tcBorders>
              <w:top w:val="single" w:color="1E1B4B" w:sz="1"/>
              <w:left w:val="single" w:color="1E1B4B" w:sz="1"/>
              <w:bottom w:val="single" w:color="1E1B4B" w:sz="1"/>
              <w:right w:val="single" w:color="1E1B4B" w:sz="1"/>
            </w:tcBorders>
            <w:shd w:fill="1E1B4B" w:val="clear"/>
            <w:tcMar>
              <w:top w:type="dxa" w:w="120"/>
              <w:left w:type="dxa" w:w="160"/>
              <w:bottom w:type="dxa" w:w="120"/>
              <w:right w:type="dxa" w:w="160"/>
            </w:tcMar>
            <w:vAlign w:val="top"/>
          </w:tcPr>
          <w:p>
            <w:r>
              <w:rPr>
                <w:rFonts w:ascii="Arial" w:cs="Arial" w:eastAsia="Arial" w:hAnsi="Arial"/>
                <w:b/>
                <w:bCs/>
                <w:color w:val="FFFFFF"/>
                <w:sz w:val="19"/>
                <w:szCs w:val="19"/>
              </w:rPr>
              <w:t xml:space="preserve">Expected Impact</w:t>
            </w:r>
          </w:p>
        </w:tc>
        <w:tc>
          <w:tcPr>
            <w:tcW w:type="dxa" w:w="3000"/>
            <w:tcBorders>
              <w:top w:val="single" w:color="1E1B4B" w:sz="1"/>
              <w:left w:val="single" w:color="1E1B4B" w:sz="1"/>
              <w:bottom w:val="single" w:color="1E1B4B" w:sz="1"/>
              <w:right w:val="single" w:color="1E1B4B" w:sz="1"/>
            </w:tcBorders>
            <w:shd w:fill="1E1B4B" w:val="clear"/>
            <w:tcMar>
              <w:top w:type="dxa" w:w="120"/>
              <w:left w:type="dxa" w:w="160"/>
              <w:bottom w:type="dxa" w:w="120"/>
              <w:right w:type="dxa" w:w="160"/>
            </w:tcMar>
            <w:vAlign w:val="top"/>
          </w:tcPr>
          <w:p>
            <w:r>
              <w:rPr>
                <w:rFonts w:ascii="Arial" w:cs="Arial" w:eastAsia="Arial" w:hAnsi="Arial"/>
                <w:b/>
                <w:bCs/>
                <w:color w:val="FFFFFF"/>
                <w:sz w:val="19"/>
                <w:szCs w:val="19"/>
              </w:rPr>
              <w:t xml:space="preserve">Rationale</w:t>
            </w:r>
          </w:p>
        </w:tc>
      </w:tr>
      <w:tr>
        <w:tc>
          <w:tcPr>
            <w:tcW w:type="dxa" w:w="156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vAlign w:val="top"/>
          </w:tcPr>
          <w:p>
            <w:pPr>
              <w:jc w:val="center"/>
            </w:pPr>
            <w:r>
              <w:rPr>
                <w:rFonts w:ascii="Arial" w:cs="Arial" w:eastAsia="Arial" w:hAnsi="Arial"/>
                <w:b/>
                <w:bCs/>
                <w:color w:val="991B1B"/>
                <w:sz w:val="19"/>
                <w:szCs w:val="19"/>
              </w:rPr>
              <w:t xml:space="preserve">P0</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b/>
                <w:bCs/>
                <w:color w:val="111827"/>
                <w:sz w:val="19"/>
                <w:szCs w:val="19"/>
              </w:rPr>
              <w:t xml:space="preserve">Self-serve sandbox (UX)</w:t>
            </w:r>
          </w:p>
        </w:tc>
        <w:tc>
          <w:tcPr>
            <w:tcW w:type="dxa" w:w="2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color w:val="374151"/>
                <w:sz w:val="19"/>
                <w:szCs w:val="19"/>
              </w:rPr>
              <w:t xml:space="preserve">2–3× conversion from developer/SMB visits</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i/>
                <w:iCs/>
                <w:color w:val="6B7280"/>
                <w:sz w:val="19"/>
                <w:szCs w:val="19"/>
              </w:rPr>
              <w:t xml:space="preserve">Zero-cost CAC; competitors already have it</w:t>
            </w:r>
          </w:p>
        </w:tc>
      </w:tr>
      <w:tr>
        <w:tc>
          <w:tcPr>
            <w:tcW w:type="dxa" w:w="1560"/>
            <w:tcBorders>
              <w:top w:val="single" w:color="E5E7EB" w:sz="1"/>
              <w:left w:val="single" w:color="E5E7EB" w:sz="1"/>
              <w:bottom w:val="single" w:color="E5E7EB" w:sz="1"/>
              <w:right w:val="single" w:color="E5E7EB" w:sz="1"/>
            </w:tcBorders>
            <w:shd w:fill="FEF2F2" w:val="clear"/>
            <w:tcMar>
              <w:top w:type="dxa" w:w="120"/>
              <w:left w:type="dxa" w:w="160"/>
              <w:bottom w:type="dxa" w:w="120"/>
              <w:right w:type="dxa" w:w="160"/>
            </w:tcMar>
            <w:vAlign w:val="top"/>
          </w:tcPr>
          <w:p>
            <w:pPr>
              <w:jc w:val="center"/>
            </w:pPr>
            <w:r>
              <w:rPr>
                <w:rFonts w:ascii="Arial" w:cs="Arial" w:eastAsia="Arial" w:hAnsi="Arial"/>
                <w:b/>
                <w:bCs/>
                <w:color w:val="991B1B"/>
                <w:sz w:val="19"/>
                <w:szCs w:val="19"/>
              </w:rPr>
              <w:t xml:space="preserve">P0</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b/>
                <w:bCs/>
                <w:color w:val="111827"/>
                <w:sz w:val="19"/>
                <w:szCs w:val="19"/>
              </w:rPr>
              <w:t xml:space="preserve">Shopify D2C integration (Collaborations)</w:t>
            </w:r>
          </w:p>
        </w:tc>
        <w:tc>
          <w:tcPr>
            <w:tcW w:type="dxa" w:w="2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color w:val="374151"/>
                <w:sz w:val="19"/>
                <w:szCs w:val="19"/>
              </w:rPr>
              <w:t xml:space="preserve">200+ new paying logos in 6 months</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i/>
                <w:iCs/>
                <w:color w:val="6B7280"/>
                <w:sz w:val="19"/>
                <w:szCs w:val="19"/>
              </w:rPr>
              <w:t xml:space="preserve">COD RTO is a ₹1,000 Cr problem; no rival has a native Shopify app</w:t>
            </w:r>
          </w:p>
        </w:tc>
      </w:tr>
      <w:tr>
        <w:tc>
          <w:tcPr>
            <w:tcW w:type="dxa" w:w="1560"/>
            <w:tcBorders>
              <w:top w:val="single" w:color="E5E7EB" w:sz="1"/>
              <w:left w:val="single" w:color="E5E7EB" w:sz="1"/>
              <w:bottom w:val="single" w:color="E5E7EB" w:sz="1"/>
              <w:right w:val="single" w:color="E5E7EB" w:sz="1"/>
            </w:tcBorders>
            <w:shd w:fill="FFFBEB" w:val="clear"/>
            <w:tcMar>
              <w:top w:type="dxa" w:w="120"/>
              <w:left w:type="dxa" w:w="160"/>
              <w:bottom w:type="dxa" w:w="120"/>
              <w:right w:type="dxa" w:w="160"/>
            </w:tcMar>
            <w:vAlign w:val="top"/>
          </w:tcPr>
          <w:p>
            <w:pPr>
              <w:jc w:val="center"/>
            </w:pPr>
            <w:r>
              <w:rPr>
                <w:rFonts w:ascii="Arial" w:cs="Arial" w:eastAsia="Arial" w:hAnsi="Arial"/>
                <w:b/>
                <w:bCs/>
                <w:color w:val="92400E"/>
                <w:sz w:val="19"/>
                <w:szCs w:val="19"/>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b/>
                <w:bCs/>
                <w:color w:val="111827"/>
                <w:sz w:val="19"/>
                <w:szCs w:val="19"/>
              </w:rPr>
              <w:t xml:space="preserve">India-First proof layer (Competitor)</w:t>
            </w:r>
          </w:p>
        </w:tc>
        <w:tc>
          <w:tcPr>
            <w:tcW w:type="dxa" w:w="2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color w:val="374151"/>
                <w:sz w:val="19"/>
                <w:szCs w:val="19"/>
              </w:rPr>
              <w:t xml:space="preserve">Reduces sales cycle by 30–40%</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i/>
                <w:iCs/>
                <w:color w:val="6B7280"/>
                <w:sz w:val="19"/>
                <w:szCs w:val="19"/>
              </w:rPr>
              <w:t xml:space="preserve">Benchmark data converts skeptics before a sales call</w:t>
            </w:r>
          </w:p>
        </w:tc>
      </w:tr>
      <w:tr>
        <w:tc>
          <w:tcPr>
            <w:tcW w:type="dxa" w:w="1560"/>
            <w:tcBorders>
              <w:top w:val="single" w:color="E5E7EB" w:sz="1"/>
              <w:left w:val="single" w:color="E5E7EB" w:sz="1"/>
              <w:bottom w:val="single" w:color="E5E7EB" w:sz="1"/>
              <w:right w:val="single" w:color="E5E7EB" w:sz="1"/>
            </w:tcBorders>
            <w:shd w:fill="FFFBEB" w:val="clear"/>
            <w:tcMar>
              <w:top w:type="dxa" w:w="120"/>
              <w:left w:type="dxa" w:w="160"/>
              <w:bottom w:type="dxa" w:w="120"/>
              <w:right w:type="dxa" w:w="160"/>
            </w:tcMar>
            <w:vAlign w:val="top"/>
          </w:tcPr>
          <w:p>
            <w:pPr>
              <w:jc w:val="center"/>
            </w:pPr>
            <w:r>
              <w:rPr>
                <w:rFonts w:ascii="Arial" w:cs="Arial" w:eastAsia="Arial" w:hAnsi="Arial"/>
                <w:b/>
                <w:bCs/>
                <w:color w:val="92400E"/>
                <w:sz w:val="19"/>
                <w:szCs w:val="19"/>
              </w:rPr>
              <w:t xml:space="preserve">P1</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b/>
                <w:bCs/>
                <w:color w:val="111827"/>
                <w:sz w:val="19"/>
                <w:szCs w:val="19"/>
              </w:rPr>
              <w:t xml:space="preserve">ICP segmentation (GTM)</w:t>
            </w:r>
          </w:p>
        </w:tc>
        <w:tc>
          <w:tcPr>
            <w:tcW w:type="dxa" w:w="2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color w:val="374151"/>
                <w:sz w:val="19"/>
                <w:szCs w:val="19"/>
              </w:rPr>
              <w:t xml:space="preserve">Higher lead quality, lower CAC</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i/>
                <w:iCs/>
                <w:color w:val="6B7280"/>
                <w:sz w:val="19"/>
                <w:szCs w:val="19"/>
              </w:rPr>
              <w:t xml:space="preserve">One homepage can't win both devs and enterprise</w:t>
            </w:r>
          </w:p>
        </w:tc>
      </w:tr>
      <w:tr>
        <w:tc>
          <w:tcPr>
            <w:tcW w:type="dxa" w:w="156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vAlign w:val="top"/>
          </w:tcPr>
          <w:p>
            <w:pPr>
              <w:jc w:val="center"/>
            </w:pPr>
            <w:r>
              <w:rPr>
                <w:rFonts w:ascii="Arial" w:cs="Arial" w:eastAsia="Arial" w:hAnsi="Arial"/>
                <w:b/>
                <w:bCs/>
                <w:color w:val="374151"/>
                <w:sz w:val="19"/>
                <w:szCs w:val="19"/>
              </w:rPr>
              <w:t xml:space="preserve">P2</w:t>
            </w:r>
          </w:p>
        </w:tc>
        <w:tc>
          <w:tcPr>
            <w:tcW w:type="dxa" w:w="2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b/>
                <w:bCs/>
                <w:color w:val="111827"/>
                <w:sz w:val="19"/>
                <w:szCs w:val="19"/>
              </w:rPr>
              <w:t xml:space="preserve">VocalIntel as a co-equal product (Features)</w:t>
            </w:r>
          </w:p>
        </w:tc>
        <w:tc>
          <w:tcPr>
            <w:tcW w:type="dxa" w:w="28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color w:val="374151"/>
                <w:sz w:val="19"/>
                <w:szCs w:val="19"/>
              </w:rPr>
              <w:t xml:space="preserve">LTV uplift 2–3× via analytics upsell</w:t>
            </w:r>
          </w:p>
        </w:tc>
        <w:tc>
          <w:tcPr>
            <w:tcW w:type="dxa" w:w="3000"/>
            <w:tcBorders>
              <w:top w:val="single" w:color="E5E7EB" w:sz="1"/>
              <w:left w:val="single" w:color="E5E7EB" w:sz="1"/>
              <w:bottom w:val="single" w:color="E5E7EB" w:sz="1"/>
              <w:right w:val="single" w:color="E5E7EB" w:sz="1"/>
            </w:tcBorders>
            <w:shd w:fill="FFFFFF" w:val="clear"/>
            <w:tcMar>
              <w:top w:type="dxa" w:w="120"/>
              <w:left w:type="dxa" w:w="160"/>
              <w:bottom w:type="dxa" w:w="120"/>
              <w:right w:type="dxa" w:w="160"/>
            </w:tcMar>
            <w:vAlign w:val="top"/>
          </w:tcPr>
          <w:p>
            <w:r>
              <w:rPr>
                <w:rFonts w:ascii="Arial" w:cs="Arial" w:eastAsia="Arial" w:hAnsi="Arial"/>
                <w:i/>
                <w:iCs/>
                <w:color w:val="6B7280"/>
                <w:sz w:val="19"/>
                <w:szCs w:val="19"/>
              </w:rPr>
              <w:t xml:space="preserve">Needs baseline call volume before analytics are meaningful</w:t>
            </w:r>
          </w:p>
        </w:tc>
      </w:tr>
    </w:tbl>
    <w:p>
      <w:pPr>
        <w:spacing w:after="160" w:before="160"/>
      </w:pPr>
      <w:r>
        <w:t xml:space="preserve"/>
      </w:r>
    </w:p>
    <w:p>
      <w:pPr>
        <w:pStyle w:val="Heading1"/>
      </w:pPr>
      <w:r>
        <w:t xml:space="preserve">The 5 Feedbacks</w:t>
      </w:r>
    </w:p>
    <w:tbl>
      <w:tblPr>
        <w:tblW w:type="dxa" w:w="9360"/>
        <w:tblBorders>
          <w:top w:val="single" w:color="C4B5FD" w:sz="1"/>
          <w:left w:val="single" w:color="C4B5FD" w:sz="1"/>
          <w:bottom w:val="single" w:color="C4B5FD" w:sz="1"/>
          <w:right w:val="single" w:color="C4B5FD" w:sz="1"/>
          <w:insideH w:val="single" w:color="auto" w:sz="4"/>
          <w:insideV w:val="single" w:color="auto" w:sz="4"/>
        </w:tblBorders>
      </w:tblPr>
      <w:tblGrid>
        <w:gridCol w:w="600"/>
        <w:gridCol w:w="6560"/>
        <w:gridCol w:w="2200"/>
        <w:gridCol w:w="0"/>
      </w:tblGrid>
      <w:tr>
        <w:tc>
          <w:tcPr>
            <w:tcW w:type="dxa" w:w="600"/>
            <w:tcBorders>
              <w:top w:val="none" w:color="FFFFFF" w:sz="0"/>
              <w:left w:val="none" w:color="FFFFFF" w:sz="0"/>
              <w:bottom w:val="none" w:color="FFFFFF" w:sz="0"/>
              <w:right w:val="none" w:color="FFFFFF" w:sz="0"/>
            </w:tcBorders>
            <w:shd w:fill="4F46E5"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01</w:t>
            </w:r>
          </w:p>
        </w:tc>
        <w:tc>
          <w:tcPr>
            <w:tcW w:type="dxa" w:w="6560"/>
            <w:tcBorders>
              <w:top w:val="none" w:color="FFFFFF" w:sz="0"/>
              <w:left w:val="none" w:color="FFFFFF" w:sz="0"/>
              <w:bottom w:val="none" w:color="FFFFFF" w:sz="0"/>
              <w:right w:val="none" w:color="FFFFFF" w:sz="0"/>
            </w:tcBorders>
            <w:shd w:fill="1E1B4B" w:val="clear"/>
            <w:tcMar>
              <w:top w:type="dxa" w:w="140"/>
              <w:left w:type="dxa" w:w="200"/>
              <w:bottom w:type="dxa" w:w="140"/>
              <w:right w:type="dxa" w:w="200"/>
            </w:tcMar>
            <w:vAlign w:val="center"/>
          </w:tcPr>
          <w:p>
            <w:r>
              <w:rPr>
                <w:rFonts w:ascii="Arial" w:cs="Arial" w:eastAsia="Arial" w:hAnsi="Arial"/>
                <w:b/>
                <w:bCs/>
                <w:color w:val="FFFFFF"/>
                <w:sz w:val="22"/>
                <w:szCs w:val="22"/>
              </w:rPr>
              <w:t xml:space="preserve">The Self-Serve Blackhole: 'Book a Demo' Is Leaking Your Fastest-Paying Segment</w:t>
            </w:r>
          </w:p>
        </w:tc>
        <w:tc>
          <w:tcPr>
            <w:tcW w:type="dxa" w:w="2200"/>
            <w:tcBorders>
              <w:top w:val="none" w:color="FFFFFF" w:sz="0"/>
              <w:left w:val="none" w:color="FFFFFF" w:sz="0"/>
              <w:bottom w:val="none" w:color="FFFFFF" w:sz="0"/>
              <w:right w:val="none" w:color="FFFFFF" w:sz="0"/>
            </w:tcBorders>
            <w:shd w:fill="FEF3C7" w:val="clear"/>
            <w:tcMar>
              <w:top w:type="dxa" w:w="100"/>
              <w:left w:type="dxa" w:w="140"/>
              <w:bottom w:type="dxa" w:w="100"/>
              <w:right w:type="dxa" w:w="140"/>
            </w:tcMar>
            <w:vAlign w:val="center"/>
          </w:tcPr>
          <w:p>
            <w:pPr>
              <w:jc w:val="center"/>
            </w:pPr>
            <w:r>
              <w:rPr>
                <w:rFonts w:ascii="Arial" w:cs="Arial" w:eastAsia="Arial" w:hAnsi="Arial"/>
                <w:b/>
                <w:bCs/>
                <w:color w:val="92400E"/>
                <w:sz w:val="17"/>
                <w:szCs w:val="17"/>
              </w:rPr>
              <w:t xml:space="preserve">UX</w:t>
            </w:r>
          </w:p>
        </w:tc>
        <w:tc>
          <w:tcPr>
            <w:tcW w:type="dxa" w:w="560"/>
            <w:tcBorders>
              <w:top w:val="none" w:color="FFFFFF" w:sz="0"/>
              <w:left w:val="none" w:color="FFFFFF" w:sz="0"/>
              <w:bottom w:val="none" w:color="FFFFFF" w:sz="0"/>
              <w:right w:val="none" w:color="FFFFFF" w:sz="0"/>
            </w:tcBorders>
            <w:shd w:fill="EF444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P0</w:t>
            </w:r>
          </w:p>
        </w:tc>
      </w:tr>
      <w:tr>
        <w:tc>
          <w:tcPr>
            <w:tcW w:type="dxa" w:w="600"/>
            <w:tcBorders>
              <w:top w:val="none" w:color="FFFFFF" w:sz="0"/>
              <w:left w:val="none" w:color="FFFFFF" w:sz="0"/>
              <w:bottom w:val="none" w:color="FFFFFF" w:sz="0"/>
              <w:right w:val="none" w:color="FFFFFF" w:sz="0"/>
            </w:tcBorders>
            <w:shd w:fill="EFF6FF" w:val="clear"/>
            <w:tcMar>
              <w:top w:type="dxa" w:w="100"/>
              <w:left w:type="dxa" w:w="120"/>
              <w:bottom w:type="dxa" w:w="100"/>
              <w:right w:type="dxa" w:w="120"/>
            </w:tcMar>
            <w:vAlign w:val="center"/>
          </w:tcPr>
          <w:p>
            <w:pPr>
              <w:jc w:val="center"/>
            </w:pPr>
            <w:r>
              <w:rPr>
                <w:rFonts w:ascii="Arial" w:cs="Arial" w:eastAsia="Arial" w:hAnsi="Arial"/>
                <w:b/>
                <w:bCs/>
                <w:color w:val="1D4ED8"/>
                <w:sz w:val="14"/>
                <w:szCs w:val="14"/>
              </w:rPr>
              <w:t xml:space="preserve">OBSERVED</w:t>
            </w:r>
          </w:p>
        </w:tc>
        <w:tc>
          <w:tcPr>
            <w:tcW w:type="dxa" w:w="9120"/>
            <w:gridSpan w:val="3"/>
            <w:tcBorders>
              <w:top w:val="none" w:color="FFFFFF" w:sz="0"/>
              <w:left w:val="none" w:color="FFFFFF" w:sz="0"/>
              <w:bottom w:val="single" w:color="BFDBFE" w:sz="1"/>
              <w:right w:val="none" w:color="FFFFFF" w:sz="0"/>
            </w:tcBorders>
            <w:shd w:fill="EFF6FF" w:val="clear"/>
            <w:tcMar>
              <w:top w:type="dxa" w:w="120"/>
              <w:left w:type="dxa" w:w="200"/>
              <w:bottom w:type="dxa" w:w="120"/>
              <w:right w:type="dxa" w:w="200"/>
            </w:tcMar>
          </w:tcPr>
          <w:p>
            <w:r>
              <w:rPr>
                <w:rFonts w:ascii="Arial" w:cs="Arial" w:eastAsia="Arial" w:hAnsi="Arial"/>
                <w:color w:val="111827"/>
                <w:sz w:val="20"/>
                <w:szCs w:val="20"/>
              </w:rPr>
              <w:t xml:space="preserve">I spent 20 minutes on vocallabs.ai trying to hear what a Vocallabs call actually sounds like. No demo audio. No sandbox. No 'try it free.' The only thing I could do was book a call with sales. I downloaded the Android app — it asked for credentials on the first screen. No sign-up flow. Dead end. For a product that claims human-like fluency, I couldn't hear a single second of it without talking to a human first.</w:t>
            </w:r>
          </w:p>
        </w:tc>
      </w:tr>
      <w:tr>
        <w:tc>
          <w:tcPr>
            <w:tcW w:type="dxa" w:w="600"/>
            <w:tcBorders>
              <w:top w:val="none" w:color="FFFFFF" w:sz="0"/>
              <w:left w:val="none" w:color="FFFFFF" w:sz="0"/>
              <w:bottom w:val="none" w:color="FFFFFF" w:sz="0"/>
              <w:right w:val="none" w:color="FFFFFF" w:sz="0"/>
            </w:tcBorders>
            <w:shd w:fill="FFF1F2" w:val="clear"/>
            <w:tcMar>
              <w:top w:type="dxa" w:w="100"/>
              <w:left w:type="dxa" w:w="120"/>
              <w:bottom w:type="dxa" w:w="100"/>
              <w:right w:type="dxa" w:w="120"/>
            </w:tcMar>
            <w:vAlign w:val="center"/>
          </w:tcPr>
          <w:p>
            <w:pPr>
              <w:jc w:val="center"/>
            </w:pPr>
            <w:r>
              <w:rPr>
                <w:rFonts w:ascii="Arial" w:cs="Arial" w:eastAsia="Arial" w:hAnsi="Arial"/>
                <w:b/>
                <w:bCs/>
                <w:color w:val="991B1B"/>
                <w:sz w:val="14"/>
                <w:szCs w:val="14"/>
              </w:rPr>
              <w:t xml:space="preserve">PROBLEM</w:t>
            </w:r>
          </w:p>
        </w:tc>
        <w:tc>
          <w:tcPr>
            <w:tcW w:type="dxa" w:w="9120"/>
            <w:gridSpan w:val="3"/>
            <w:tcBorders>
              <w:top w:val="none" w:color="FFFFFF" w:sz="0"/>
              <w:left w:val="none" w:color="FFFFFF" w:sz="0"/>
              <w:bottom w:val="single" w:color="FECDD3" w:sz="1"/>
              <w:right w:val="none" w:color="FFFFFF" w:sz="0"/>
            </w:tcBorders>
            <w:shd w:fill="FFF1F2" w:val="clear"/>
            <w:tcMar>
              <w:top w:type="dxa" w:w="120"/>
              <w:left w:type="dxa" w:w="200"/>
              <w:bottom w:type="dxa" w:w="120"/>
              <w:right w:type="dxa" w:w="200"/>
            </w:tcMar>
          </w:tcPr>
          <w:p>
            <w:r>
              <w:rPr>
                <w:rFonts w:ascii="Arial" w:cs="Arial" w:eastAsia="Arial" w:hAnsi="Arial"/>
                <w:color w:val="111827"/>
                <w:sz w:val="20"/>
                <w:szCs w:val="20"/>
              </w:rPr>
              <w:t xml:space="preserve">VAPI gives you free credits and a playground. Retell has a developer sandbox live on day one. Bolna is open-source — you can literally fork it. Every developer or SMB founder who lands on Vocallabs and sees 'Book a Demo' is already mentally halfway to a competitor they can test right now. That's a CAC problem and a sales efficiency problem simultaneously — the sales team is fielding calls with leads who'd have self-disqualified in 5 minutes of hands-on use. The fastest-growing voice AI buyers in India don't want to talk to sales first. They want to try.</w:t>
            </w:r>
          </w:p>
        </w:tc>
      </w:tr>
      <w:tr>
        <w:tc>
          <w:tcPr>
            <w:tcW w:type="dxa" w:w="6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65F46"/>
                <w:sz w:val="14"/>
                <w:szCs w:val="14"/>
              </w:rPr>
              <w:t xml:space="preserve">SHIP INSTEAD</w:t>
            </w:r>
          </w:p>
        </w:tc>
        <w:tc>
          <w:tcPr>
            <w:tcW w:type="dxa" w:w="9120"/>
            <w:gridSpan w:val="3"/>
            <w:tcBorders>
              <w:top w:val="none" w:color="FFFFFF" w:sz="0"/>
              <w:left w:val="none" w:color="FFFFFF" w:sz="0"/>
              <w:bottom w:val="single" w:color="BBF7D0" w:sz="1"/>
              <w:right w:val="none" w:color="FFFFFF" w:sz="0"/>
            </w:tcBorders>
            <w:shd w:fill="F0FDF4" w:val="clear"/>
            <w:tcMar>
              <w:top w:type="dxa" w:w="120"/>
              <w:left w:type="dxa" w:w="200"/>
              <w:bottom w:type="dxa" w:w="120"/>
              <w:right w:type="dxa" w:w="200"/>
            </w:tcMar>
          </w:tcPr>
          <w:p>
            <w:r>
              <w:rPr>
                <w:rFonts w:ascii="Arial" w:cs="Arial" w:eastAsia="Arial" w:hAnsi="Arial"/>
                <w:color w:val="111827"/>
                <w:sz w:val="20"/>
                <w:szCs w:val="20"/>
              </w:rPr>
              <w:t xml:space="preserve">Ship a self-serve sandbox. First 50 calls free, no credit card. Three pre-built templates — COD confirmation, appointment booking, lead qualification. Flow: sign up with email, pick a template, call goes live in the browser, done. Measure time-to-first-successful-call as the north star. Sales only gets involved above ₹1L/month ARR. That one change alone cuts CAC on the SMB segment to near-zero and removes the biggest reason developers bounce.</w:t>
            </w:r>
          </w:p>
        </w:tc>
      </w:tr>
    </w:tbl>
    <w:p>
      <w:pPr>
        <w:spacing w:after="160" w:before="160"/>
      </w:pPr>
      <w:r>
        <w:t xml:space="preserve"/>
      </w:r>
    </w:p>
    <w:tbl>
      <w:tblPr>
        <w:tblW w:type="dxa" w:w="9360"/>
        <w:tblBorders>
          <w:top w:val="single" w:color="C4B5FD" w:sz="1"/>
          <w:left w:val="single" w:color="C4B5FD" w:sz="1"/>
          <w:bottom w:val="single" w:color="C4B5FD" w:sz="1"/>
          <w:right w:val="single" w:color="C4B5FD" w:sz="1"/>
          <w:insideH w:val="single" w:color="auto" w:sz="4"/>
          <w:insideV w:val="single" w:color="auto" w:sz="4"/>
        </w:tblBorders>
      </w:tblPr>
      <w:tblGrid>
        <w:gridCol w:w="600"/>
        <w:gridCol w:w="6560"/>
        <w:gridCol w:w="2200"/>
        <w:gridCol w:w="0"/>
      </w:tblGrid>
      <w:tr>
        <w:tc>
          <w:tcPr>
            <w:tcW w:type="dxa" w:w="600"/>
            <w:tcBorders>
              <w:top w:val="none" w:color="FFFFFF" w:sz="0"/>
              <w:left w:val="none" w:color="FFFFFF" w:sz="0"/>
              <w:bottom w:val="none" w:color="FFFFFF" w:sz="0"/>
              <w:right w:val="none" w:color="FFFFFF" w:sz="0"/>
            </w:tcBorders>
            <w:shd w:fill="4F46E5"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02</w:t>
            </w:r>
          </w:p>
        </w:tc>
        <w:tc>
          <w:tcPr>
            <w:tcW w:type="dxa" w:w="6560"/>
            <w:tcBorders>
              <w:top w:val="none" w:color="FFFFFF" w:sz="0"/>
              <w:left w:val="none" w:color="FFFFFF" w:sz="0"/>
              <w:bottom w:val="none" w:color="FFFFFF" w:sz="0"/>
              <w:right w:val="none" w:color="FFFFFF" w:sz="0"/>
            </w:tcBorders>
            <w:shd w:fill="1E1B4B" w:val="clear"/>
            <w:tcMar>
              <w:top w:type="dxa" w:w="140"/>
              <w:left w:type="dxa" w:w="200"/>
              <w:bottom w:type="dxa" w:w="140"/>
              <w:right w:type="dxa" w:w="200"/>
            </w:tcMar>
            <w:vAlign w:val="center"/>
          </w:tcPr>
          <w:p>
            <w:r>
              <w:rPr>
                <w:rFonts w:ascii="Arial" w:cs="Arial" w:eastAsia="Arial" w:hAnsi="Arial"/>
                <w:b/>
                <w:bCs/>
                <w:color w:val="FFFFFF"/>
                <w:sz w:val="22"/>
                <w:szCs w:val="22"/>
              </w:rPr>
              <w:t xml:space="preserve">'India-First' Is a Claim, Not a Moat — Nobody Can See the Proof</w:t>
            </w:r>
          </w:p>
        </w:tc>
        <w:tc>
          <w:tcPr>
            <w:tcW w:type="dxa" w:w="2200"/>
            <w:tcBorders>
              <w:top w:val="none" w:color="FFFFFF" w:sz="0"/>
              <w:left w:val="none" w:color="FFFFFF" w:sz="0"/>
              <w:bottom w:val="none" w:color="FFFFFF" w:sz="0"/>
              <w:right w:val="none" w:color="FFFFFF" w:sz="0"/>
            </w:tcBorders>
            <w:shd w:fill="FCE7F3" w:val="clear"/>
            <w:tcMar>
              <w:top w:type="dxa" w:w="100"/>
              <w:left w:type="dxa" w:w="140"/>
              <w:bottom w:type="dxa" w:w="100"/>
              <w:right w:type="dxa" w:w="140"/>
            </w:tcMar>
            <w:vAlign w:val="center"/>
          </w:tcPr>
          <w:p>
            <w:pPr>
              <w:jc w:val="center"/>
            </w:pPr>
            <w:r>
              <w:rPr>
                <w:rFonts w:ascii="Arial" w:cs="Arial" w:eastAsia="Arial" w:hAnsi="Arial"/>
                <w:b/>
                <w:bCs/>
                <w:color w:val="9D174D"/>
                <w:sz w:val="17"/>
                <w:szCs w:val="17"/>
              </w:rPr>
              <w:t xml:space="preserve">Competitor Analysis</w:t>
            </w:r>
          </w:p>
        </w:tc>
        <w:tc>
          <w:tcPr>
            <w:tcW w:type="dxa" w:w="560"/>
            <w:tcBorders>
              <w:top w:val="none" w:color="FFFFFF" w:sz="0"/>
              <w:left w:val="none" w:color="FFFFFF" w:sz="0"/>
              <w:bottom w:val="none" w:color="FFFFFF" w:sz="0"/>
              <w:right w:val="none" w:color="FFFFFF" w:sz="0"/>
            </w:tcBorders>
            <w:shd w:fill="F59E0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P1</w:t>
            </w:r>
          </w:p>
        </w:tc>
      </w:tr>
      <w:tr>
        <w:tc>
          <w:tcPr>
            <w:tcW w:type="dxa" w:w="600"/>
            <w:tcBorders>
              <w:top w:val="none" w:color="FFFFFF" w:sz="0"/>
              <w:left w:val="none" w:color="FFFFFF" w:sz="0"/>
              <w:bottom w:val="none" w:color="FFFFFF" w:sz="0"/>
              <w:right w:val="none" w:color="FFFFFF" w:sz="0"/>
            </w:tcBorders>
            <w:shd w:fill="EFF6FF" w:val="clear"/>
            <w:tcMar>
              <w:top w:type="dxa" w:w="100"/>
              <w:left w:type="dxa" w:w="120"/>
              <w:bottom w:type="dxa" w:w="100"/>
              <w:right w:type="dxa" w:w="120"/>
            </w:tcMar>
            <w:vAlign w:val="center"/>
          </w:tcPr>
          <w:p>
            <w:pPr>
              <w:jc w:val="center"/>
            </w:pPr>
            <w:r>
              <w:rPr>
                <w:rFonts w:ascii="Arial" w:cs="Arial" w:eastAsia="Arial" w:hAnsi="Arial"/>
                <w:b/>
                <w:bCs/>
                <w:color w:val="1D4ED8"/>
                <w:sz w:val="14"/>
                <w:szCs w:val="14"/>
              </w:rPr>
              <w:t xml:space="preserve">OBSERVED</w:t>
            </w:r>
          </w:p>
        </w:tc>
        <w:tc>
          <w:tcPr>
            <w:tcW w:type="dxa" w:w="9120"/>
            <w:gridSpan w:val="3"/>
            <w:tcBorders>
              <w:top w:val="none" w:color="FFFFFF" w:sz="0"/>
              <w:left w:val="none" w:color="FFFFFF" w:sz="0"/>
              <w:bottom w:val="single" w:color="BFDBFE" w:sz="1"/>
              <w:right w:val="none" w:color="FFFFFF" w:sz="0"/>
            </w:tcBorders>
            <w:shd w:fill="EFF6FF" w:val="clear"/>
            <w:tcMar>
              <w:top w:type="dxa" w:w="120"/>
              <w:left w:type="dxa" w:w="200"/>
              <w:bottom w:type="dxa" w:w="120"/>
              <w:right w:type="dxa" w:w="200"/>
            </w:tcMar>
          </w:tcPr>
          <w:p>
            <w:r>
              <w:rPr>
                <w:rFonts w:ascii="Arial" w:cs="Arial" w:eastAsia="Arial" w:hAnsi="Arial"/>
                <w:color w:val="111827"/>
                <w:sz w:val="20"/>
                <w:szCs w:val="20"/>
              </w:rPr>
              <w:t xml:space="preserve">Vocallabs calls itself 'India-first: tuned for local languages, accents &amp; workflows.' I read every page on the site looking for what that actually means. Nothing. No demo in Hindi. No language coverage matrix. No ASR benchmarks. No latency data. The blogs cover healthcare AI and digital creators — content that could have been written about ElevenLabs. Meanwhile Bolna is publishing sub-600ms latency numbers on Sarvam's Bulbul TTS. Caller Digital has a full language x telephony coverage grid. Gnani has a research paper. Vocallabs has a bullet point.</w:t>
            </w:r>
          </w:p>
        </w:tc>
      </w:tr>
      <w:tr>
        <w:tc>
          <w:tcPr>
            <w:tcW w:type="dxa" w:w="600"/>
            <w:tcBorders>
              <w:top w:val="none" w:color="FFFFFF" w:sz="0"/>
              <w:left w:val="none" w:color="FFFFFF" w:sz="0"/>
              <w:bottom w:val="none" w:color="FFFFFF" w:sz="0"/>
              <w:right w:val="none" w:color="FFFFFF" w:sz="0"/>
            </w:tcBorders>
            <w:shd w:fill="FFF1F2" w:val="clear"/>
            <w:tcMar>
              <w:top w:type="dxa" w:w="100"/>
              <w:left w:type="dxa" w:w="120"/>
              <w:bottom w:type="dxa" w:w="100"/>
              <w:right w:type="dxa" w:w="120"/>
            </w:tcMar>
            <w:vAlign w:val="center"/>
          </w:tcPr>
          <w:p>
            <w:pPr>
              <w:jc w:val="center"/>
            </w:pPr>
            <w:r>
              <w:rPr>
                <w:rFonts w:ascii="Arial" w:cs="Arial" w:eastAsia="Arial" w:hAnsi="Arial"/>
                <w:b/>
                <w:bCs/>
                <w:color w:val="991B1B"/>
                <w:sz w:val="14"/>
                <w:szCs w:val="14"/>
              </w:rPr>
              <w:t xml:space="preserve">PROBLEM</w:t>
            </w:r>
          </w:p>
        </w:tc>
        <w:tc>
          <w:tcPr>
            <w:tcW w:type="dxa" w:w="9120"/>
            <w:gridSpan w:val="3"/>
            <w:tcBorders>
              <w:top w:val="none" w:color="FFFFFF" w:sz="0"/>
              <w:left w:val="none" w:color="FFFFFF" w:sz="0"/>
              <w:bottom w:val="single" w:color="FECDD3" w:sz="1"/>
              <w:right w:val="none" w:color="FFFFFF" w:sz="0"/>
            </w:tcBorders>
            <w:shd w:fill="FFF1F2" w:val="clear"/>
            <w:tcMar>
              <w:top w:type="dxa" w:w="120"/>
              <w:left w:type="dxa" w:w="200"/>
              <w:bottom w:type="dxa" w:w="120"/>
              <w:right w:type="dxa" w:w="200"/>
            </w:tcMar>
          </w:tcPr>
          <w:p>
            <w:r>
              <w:rPr>
                <w:rFonts w:ascii="Arial" w:cs="Arial" w:eastAsia="Arial" w:hAnsi="Arial"/>
                <w:color w:val="111827"/>
                <w:sz w:val="20"/>
                <w:szCs w:val="20"/>
              </w:rPr>
              <w:t xml:space="preserve">Any procurement manager who got burned by ElevenLabs sounding robotic in Hindi — and there are a lot of them — comes to Vocallabs looking for proof. They find none. So 'India-first' is just marketing copy. Worse, the 'data flywheel' moat only compounds if customers believe their call data is actively improving the model. Without evidence, buyers assume it isn't. Sarvam has government-backed research. Bolna has published benchmarks. If Vocallabs doesn't put something out there, it loses the 'India credibility' battle by default — not because the product is worse, but because nobody can tell.</w:t>
            </w:r>
          </w:p>
        </w:tc>
      </w:tr>
      <w:tr>
        <w:tc>
          <w:tcPr>
            <w:tcW w:type="dxa" w:w="6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65F46"/>
                <w:sz w:val="14"/>
                <w:szCs w:val="14"/>
              </w:rPr>
              <w:t xml:space="preserve">SHIP INSTEAD</w:t>
            </w:r>
          </w:p>
        </w:tc>
        <w:tc>
          <w:tcPr>
            <w:tcW w:type="dxa" w:w="9120"/>
            <w:gridSpan w:val="3"/>
            <w:tcBorders>
              <w:top w:val="none" w:color="FFFFFF" w:sz="0"/>
              <w:left w:val="none" w:color="FFFFFF" w:sz="0"/>
              <w:bottom w:val="single" w:color="BBF7D0" w:sz="1"/>
              <w:right w:val="none" w:color="FFFFFF" w:sz="0"/>
            </w:tcBorders>
            <w:shd w:fill="F0FDF4" w:val="clear"/>
            <w:tcMar>
              <w:top w:type="dxa" w:w="120"/>
              <w:left w:type="dxa" w:w="200"/>
              <w:bottom w:type="dxa" w:w="120"/>
              <w:right w:type="dxa" w:w="200"/>
            </w:tcMar>
          </w:tcPr>
          <w:p>
            <w:r>
              <w:rPr>
                <w:rFonts w:ascii="Arial" w:cs="Arial" w:eastAsia="Arial" w:hAnsi="Arial"/>
                <w:color w:val="111827"/>
                <w:sz w:val="20"/>
                <w:szCs w:val="20"/>
              </w:rPr>
              <w:t xml:space="preserve">Publish one benchmark — not a whitepaper, just a blog post. 'Vocallabs vs. open-source: Hindi ASR accuracy on 10,000 real Indian business calls.' Add a language coverage matrix with a roadmap. And put a 60-second interactive Hinglish demo on the homepage — no sign-up, just press play and hear the call. Hinglish is the sweet spot no competitor has nailed cleanly. If Vocallabs has actually solved it, show it. One proof point does more conversion work than ten sales decks.</w:t>
            </w:r>
          </w:p>
        </w:tc>
      </w:tr>
    </w:tbl>
    <w:p>
      <w:pPr>
        <w:spacing w:after="160" w:before="160"/>
      </w:pPr>
      <w:r>
        <w:t xml:space="preserve"/>
      </w:r>
    </w:p>
    <w:tbl>
      <w:tblPr>
        <w:tblW w:type="dxa" w:w="9360"/>
        <w:tblBorders>
          <w:top w:val="single" w:color="C4B5FD" w:sz="1"/>
          <w:left w:val="single" w:color="C4B5FD" w:sz="1"/>
          <w:bottom w:val="single" w:color="C4B5FD" w:sz="1"/>
          <w:right w:val="single" w:color="C4B5FD" w:sz="1"/>
          <w:insideH w:val="single" w:color="auto" w:sz="4"/>
          <w:insideV w:val="single" w:color="auto" w:sz="4"/>
        </w:tblBorders>
      </w:tblPr>
      <w:tblGrid>
        <w:gridCol w:w="600"/>
        <w:gridCol w:w="6560"/>
        <w:gridCol w:w="2200"/>
        <w:gridCol w:w="0"/>
      </w:tblGrid>
      <w:tr>
        <w:tc>
          <w:tcPr>
            <w:tcW w:type="dxa" w:w="600"/>
            <w:tcBorders>
              <w:top w:val="none" w:color="FFFFFF" w:sz="0"/>
              <w:left w:val="none" w:color="FFFFFF" w:sz="0"/>
              <w:bottom w:val="none" w:color="FFFFFF" w:sz="0"/>
              <w:right w:val="none" w:color="FFFFFF" w:sz="0"/>
            </w:tcBorders>
            <w:shd w:fill="4F46E5"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03</w:t>
            </w:r>
          </w:p>
        </w:tc>
        <w:tc>
          <w:tcPr>
            <w:tcW w:type="dxa" w:w="6560"/>
            <w:tcBorders>
              <w:top w:val="none" w:color="FFFFFF" w:sz="0"/>
              <w:left w:val="none" w:color="FFFFFF" w:sz="0"/>
              <w:bottom w:val="none" w:color="FFFFFF" w:sz="0"/>
              <w:right w:val="none" w:color="FFFFFF" w:sz="0"/>
            </w:tcBorders>
            <w:shd w:fill="1E1B4B" w:val="clear"/>
            <w:tcMar>
              <w:top w:type="dxa" w:w="140"/>
              <w:left w:type="dxa" w:w="200"/>
              <w:bottom w:type="dxa" w:w="140"/>
              <w:right w:type="dxa" w:w="200"/>
            </w:tcMar>
            <w:vAlign w:val="center"/>
          </w:tcPr>
          <w:p>
            <w:r>
              <w:rPr>
                <w:rFonts w:ascii="Arial" w:cs="Arial" w:eastAsia="Arial" w:hAnsi="Arial"/>
                <w:b/>
                <w:bCs/>
                <w:color w:val="FFFFFF"/>
                <w:sz w:val="22"/>
                <w:szCs w:val="22"/>
              </w:rPr>
              <w:t xml:space="preserve">Voice Analytics Is Bullet #5. It Should Be the Lead Product.</w:t>
            </w:r>
          </w:p>
        </w:tc>
        <w:tc>
          <w:tcPr>
            <w:tcW w:type="dxa" w:w="2200"/>
            <w:tcBorders>
              <w:top w:val="none" w:color="FFFFFF" w:sz="0"/>
              <w:left w:val="none" w:color="FFFFFF" w:sz="0"/>
              <w:bottom w:val="none" w:color="FFFFFF" w:sz="0"/>
              <w:right w:val="none" w:color="FFFFFF" w:sz="0"/>
            </w:tcBorders>
            <w:shd w:fill="D1FAE5" w:val="clear"/>
            <w:tcMar>
              <w:top w:type="dxa" w:w="100"/>
              <w:left w:type="dxa" w:w="140"/>
              <w:bottom w:type="dxa" w:w="100"/>
              <w:right w:type="dxa" w:w="140"/>
            </w:tcMar>
            <w:vAlign w:val="center"/>
          </w:tcPr>
          <w:p>
            <w:pPr>
              <w:jc w:val="center"/>
            </w:pPr>
            <w:r>
              <w:rPr>
                <w:rFonts w:ascii="Arial" w:cs="Arial" w:eastAsia="Arial" w:hAnsi="Arial"/>
                <w:b/>
                <w:bCs/>
                <w:color w:val="065F46"/>
                <w:sz w:val="17"/>
                <w:szCs w:val="17"/>
              </w:rPr>
              <w:t xml:space="preserve">Features / Services</w:t>
            </w:r>
          </w:p>
        </w:tc>
        <w:tc>
          <w:tcPr>
            <w:tcW w:type="dxa" w:w="560"/>
            <w:tcBorders>
              <w:top w:val="none" w:color="FFFFFF" w:sz="0"/>
              <w:left w:val="none" w:color="FFFFFF" w:sz="0"/>
              <w:bottom w:val="none" w:color="FFFFFF" w:sz="0"/>
              <w:right w:val="none" w:color="FFFFFF" w:sz="0"/>
            </w:tcBorders>
            <w:shd w:fill="6B7280"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P2</w:t>
            </w:r>
          </w:p>
        </w:tc>
      </w:tr>
      <w:tr>
        <w:tc>
          <w:tcPr>
            <w:tcW w:type="dxa" w:w="600"/>
            <w:tcBorders>
              <w:top w:val="none" w:color="FFFFFF" w:sz="0"/>
              <w:left w:val="none" w:color="FFFFFF" w:sz="0"/>
              <w:bottom w:val="none" w:color="FFFFFF" w:sz="0"/>
              <w:right w:val="none" w:color="FFFFFF" w:sz="0"/>
            </w:tcBorders>
            <w:shd w:fill="EFF6FF" w:val="clear"/>
            <w:tcMar>
              <w:top w:type="dxa" w:w="100"/>
              <w:left w:type="dxa" w:w="120"/>
              <w:bottom w:type="dxa" w:w="100"/>
              <w:right w:type="dxa" w:w="120"/>
            </w:tcMar>
            <w:vAlign w:val="center"/>
          </w:tcPr>
          <w:p>
            <w:pPr>
              <w:jc w:val="center"/>
            </w:pPr>
            <w:r>
              <w:rPr>
                <w:rFonts w:ascii="Arial" w:cs="Arial" w:eastAsia="Arial" w:hAnsi="Arial"/>
                <w:b/>
                <w:bCs/>
                <w:color w:val="1D4ED8"/>
                <w:sz w:val="14"/>
                <w:szCs w:val="14"/>
              </w:rPr>
              <w:t xml:space="preserve">OBSERVED</w:t>
            </w:r>
          </w:p>
        </w:tc>
        <w:tc>
          <w:tcPr>
            <w:tcW w:type="dxa" w:w="9120"/>
            <w:gridSpan w:val="3"/>
            <w:tcBorders>
              <w:top w:val="none" w:color="FFFFFF" w:sz="0"/>
              <w:left w:val="none" w:color="FFFFFF" w:sz="0"/>
              <w:bottom w:val="single" w:color="BFDBFE" w:sz="1"/>
              <w:right w:val="none" w:color="FFFFFF" w:sz="0"/>
            </w:tcBorders>
            <w:shd w:fill="EFF6FF" w:val="clear"/>
            <w:tcMar>
              <w:top w:type="dxa" w:w="120"/>
              <w:left w:type="dxa" w:w="200"/>
              <w:bottom w:type="dxa" w:w="120"/>
              <w:right w:type="dxa" w:w="200"/>
            </w:tcMar>
          </w:tcPr>
          <w:p>
            <w:r>
              <w:rPr>
                <w:rFonts w:ascii="Arial" w:cs="Arial" w:eastAsia="Arial" w:hAnsi="Arial"/>
                <w:color w:val="111827"/>
                <w:sz w:val="20"/>
                <w:szCs w:val="20"/>
              </w:rPr>
              <w:t xml:space="preserve">The features list on vocallabs.ai ends with: 'Voice analytics: emotion, intent &amp; tone beyond transcription.' That's it. One bullet. No screenshots. No dashboard preview. No sample output. No dedicated page. The product that Vocallabs calls its 'data flywheel' moat gets fewer words on the homepage than the n8n node.</w:t>
            </w:r>
          </w:p>
        </w:tc>
      </w:tr>
      <w:tr>
        <w:tc>
          <w:tcPr>
            <w:tcW w:type="dxa" w:w="600"/>
            <w:tcBorders>
              <w:top w:val="none" w:color="FFFFFF" w:sz="0"/>
              <w:left w:val="none" w:color="FFFFFF" w:sz="0"/>
              <w:bottom w:val="none" w:color="FFFFFF" w:sz="0"/>
              <w:right w:val="none" w:color="FFFFFF" w:sz="0"/>
            </w:tcBorders>
            <w:shd w:fill="FFF1F2" w:val="clear"/>
            <w:tcMar>
              <w:top w:type="dxa" w:w="100"/>
              <w:left w:type="dxa" w:w="120"/>
              <w:bottom w:type="dxa" w:w="100"/>
              <w:right w:type="dxa" w:w="120"/>
            </w:tcMar>
            <w:vAlign w:val="center"/>
          </w:tcPr>
          <w:p>
            <w:pPr>
              <w:jc w:val="center"/>
            </w:pPr>
            <w:r>
              <w:rPr>
                <w:rFonts w:ascii="Arial" w:cs="Arial" w:eastAsia="Arial" w:hAnsi="Arial"/>
                <w:b/>
                <w:bCs/>
                <w:color w:val="991B1B"/>
                <w:sz w:val="14"/>
                <w:szCs w:val="14"/>
              </w:rPr>
              <w:t xml:space="preserve">PROBLEM</w:t>
            </w:r>
          </w:p>
        </w:tc>
        <w:tc>
          <w:tcPr>
            <w:tcW w:type="dxa" w:w="9120"/>
            <w:gridSpan w:val="3"/>
            <w:tcBorders>
              <w:top w:val="none" w:color="FFFFFF" w:sz="0"/>
              <w:left w:val="none" w:color="FFFFFF" w:sz="0"/>
              <w:bottom w:val="single" w:color="FECDD3" w:sz="1"/>
              <w:right w:val="none" w:color="FFFFFF" w:sz="0"/>
            </w:tcBorders>
            <w:shd w:fill="FFF1F2" w:val="clear"/>
            <w:tcMar>
              <w:top w:type="dxa" w:w="120"/>
              <w:left w:type="dxa" w:w="200"/>
              <w:bottom w:type="dxa" w:w="120"/>
              <w:right w:type="dxa" w:w="200"/>
            </w:tcMar>
          </w:tcPr>
          <w:p>
            <w:r>
              <w:rPr>
                <w:rFonts w:ascii="Arial" w:cs="Arial" w:eastAsia="Arial" w:hAnsi="Arial"/>
                <w:color w:val="111827"/>
                <w:sz w:val="20"/>
                <w:szCs w:val="20"/>
              </w:rPr>
              <w:t xml:space="preserve">Gong built a $7B company doing nothing but conversation intelligence on sales calls. No outbound dialling, no voice agents — just analytics. Vocallabs is sitting on the same asset in India and has listed it last. That's a strategic mistake. Call automation is getting commoditised fast — ASR and TTS are becoming utilities. The defensible layer is proprietary conversation intelligence: emotion signals, intent patterns, coaching data. If customers don't engage with the analytics dashboard, the flywheel doesn't spin and the moat never compounds. On top of that, if analytics is silently bundled into per-minute pricing, Vocallabs is leaving real LTV on the table — customers who see their own call data in a dashboard churn at a fraction of those who don't.</w:t>
            </w:r>
          </w:p>
        </w:tc>
      </w:tr>
      <w:tr>
        <w:tc>
          <w:tcPr>
            <w:tcW w:type="dxa" w:w="6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65F46"/>
                <w:sz w:val="14"/>
                <w:szCs w:val="14"/>
              </w:rPr>
              <w:t xml:space="preserve">SHIP INSTEAD</w:t>
            </w:r>
          </w:p>
        </w:tc>
        <w:tc>
          <w:tcPr>
            <w:tcW w:type="dxa" w:w="9120"/>
            <w:gridSpan w:val="3"/>
            <w:tcBorders>
              <w:top w:val="none" w:color="FFFFFF" w:sz="0"/>
              <w:left w:val="none" w:color="FFFFFF" w:sz="0"/>
              <w:bottom w:val="single" w:color="BBF7D0" w:sz="1"/>
              <w:right w:val="none" w:color="FFFFFF" w:sz="0"/>
            </w:tcBorders>
            <w:shd w:fill="F0FDF4" w:val="clear"/>
            <w:tcMar>
              <w:top w:type="dxa" w:w="120"/>
              <w:left w:type="dxa" w:w="200"/>
              <w:bottom w:type="dxa" w:w="120"/>
              <w:right w:type="dxa" w:w="200"/>
            </w:tcMar>
          </w:tcPr>
          <w:p>
            <w:r>
              <w:rPr>
                <w:rFonts w:ascii="Arial" w:cs="Arial" w:eastAsia="Arial" w:hAnsi="Arial"/>
                <w:color w:val="111827"/>
                <w:sz w:val="20"/>
                <w:szCs w:val="20"/>
              </w:rPr>
              <w:t xml:space="preserve">Give analytics its own product identity — call it VocalIntel or whatever sticks. Dedicated page, sample dashboard screenshots, three concrete use cases: SDR coaching, compliance flagging, campaign intent heatmaps. Price it explicitly as an add-on (₹X/month per seat, on top of call volume). At day 30, auto-send every customer a personalised analytics report built from their own call data. That one email will do more retention work than any onboarding checklist.</w:t>
            </w:r>
          </w:p>
        </w:tc>
      </w:tr>
    </w:tbl>
    <w:p>
      <w:pPr>
        <w:spacing w:after="160" w:before="160"/>
      </w:pPr>
      <w:r>
        <w:t xml:space="preserve"/>
      </w:r>
    </w:p>
    <w:tbl>
      <w:tblPr>
        <w:tblW w:type="dxa" w:w="9360"/>
        <w:tblBorders>
          <w:top w:val="single" w:color="C4B5FD" w:sz="1"/>
          <w:left w:val="single" w:color="C4B5FD" w:sz="1"/>
          <w:bottom w:val="single" w:color="C4B5FD" w:sz="1"/>
          <w:right w:val="single" w:color="C4B5FD" w:sz="1"/>
          <w:insideH w:val="single" w:color="auto" w:sz="4"/>
          <w:insideV w:val="single" w:color="auto" w:sz="4"/>
        </w:tblBorders>
      </w:tblPr>
      <w:tblGrid>
        <w:gridCol w:w="600"/>
        <w:gridCol w:w="6560"/>
        <w:gridCol w:w="2200"/>
        <w:gridCol w:w="0"/>
      </w:tblGrid>
      <w:tr>
        <w:tc>
          <w:tcPr>
            <w:tcW w:type="dxa" w:w="600"/>
            <w:tcBorders>
              <w:top w:val="none" w:color="FFFFFF" w:sz="0"/>
              <w:left w:val="none" w:color="FFFFFF" w:sz="0"/>
              <w:bottom w:val="none" w:color="FFFFFF" w:sz="0"/>
              <w:right w:val="none" w:color="FFFFFF" w:sz="0"/>
            </w:tcBorders>
            <w:shd w:fill="4F46E5"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04</w:t>
            </w:r>
          </w:p>
        </w:tc>
        <w:tc>
          <w:tcPr>
            <w:tcW w:type="dxa" w:w="6560"/>
            <w:tcBorders>
              <w:top w:val="none" w:color="FFFFFF" w:sz="0"/>
              <w:left w:val="none" w:color="FFFFFF" w:sz="0"/>
              <w:bottom w:val="none" w:color="FFFFFF" w:sz="0"/>
              <w:right w:val="none" w:color="FFFFFF" w:sz="0"/>
            </w:tcBorders>
            <w:shd w:fill="1E1B4B" w:val="clear"/>
            <w:tcMar>
              <w:top w:type="dxa" w:w="140"/>
              <w:left w:type="dxa" w:w="200"/>
              <w:bottom w:type="dxa" w:w="140"/>
              <w:right w:type="dxa" w:w="200"/>
            </w:tcMar>
            <w:vAlign w:val="center"/>
          </w:tcPr>
          <w:p>
            <w:r>
              <w:rPr>
                <w:rFonts w:ascii="Arial" w:cs="Arial" w:eastAsia="Arial" w:hAnsi="Arial"/>
                <w:b/>
                <w:bCs/>
                <w:color w:val="FFFFFF"/>
                <w:sz w:val="22"/>
                <w:szCs w:val="22"/>
              </w:rPr>
              <w:t xml:space="preserve">There's No ICP. 'Businesses' Is Not a Target Segment.</w:t>
            </w:r>
          </w:p>
        </w:tc>
        <w:tc>
          <w:tcPr>
            <w:tcW w:type="dxa" w:w="2200"/>
            <w:tcBorders>
              <w:top w:val="none" w:color="FFFFFF" w:sz="0"/>
              <w:left w:val="none" w:color="FFFFFF" w:sz="0"/>
              <w:bottom w:val="none" w:color="FFFFFF" w:sz="0"/>
              <w:right w:val="none" w:color="FFFFFF" w:sz="0"/>
            </w:tcBorders>
            <w:shd w:fill="DBEAFE" w:val="clear"/>
            <w:tcMar>
              <w:top w:type="dxa" w:w="100"/>
              <w:left w:type="dxa" w:w="140"/>
              <w:bottom w:type="dxa" w:w="100"/>
              <w:right w:type="dxa" w:w="140"/>
            </w:tcMar>
            <w:vAlign w:val="center"/>
          </w:tcPr>
          <w:p>
            <w:pPr>
              <w:jc w:val="center"/>
            </w:pPr>
            <w:r>
              <w:rPr>
                <w:rFonts w:ascii="Arial" w:cs="Arial" w:eastAsia="Arial" w:hAnsi="Arial"/>
                <w:b/>
                <w:bCs/>
                <w:color w:val="1E40AF"/>
                <w:sz w:val="17"/>
                <w:szCs w:val="17"/>
              </w:rPr>
              <w:t xml:space="preserve">GTM &amp; ICPs</w:t>
            </w:r>
          </w:p>
        </w:tc>
        <w:tc>
          <w:tcPr>
            <w:tcW w:type="dxa" w:w="560"/>
            <w:tcBorders>
              <w:top w:val="none" w:color="FFFFFF" w:sz="0"/>
              <w:left w:val="none" w:color="FFFFFF" w:sz="0"/>
              <w:bottom w:val="none" w:color="FFFFFF" w:sz="0"/>
              <w:right w:val="none" w:color="FFFFFF" w:sz="0"/>
            </w:tcBorders>
            <w:shd w:fill="F59E0B"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P1</w:t>
            </w:r>
          </w:p>
        </w:tc>
      </w:tr>
      <w:tr>
        <w:tc>
          <w:tcPr>
            <w:tcW w:type="dxa" w:w="600"/>
            <w:tcBorders>
              <w:top w:val="none" w:color="FFFFFF" w:sz="0"/>
              <w:left w:val="none" w:color="FFFFFF" w:sz="0"/>
              <w:bottom w:val="none" w:color="FFFFFF" w:sz="0"/>
              <w:right w:val="none" w:color="FFFFFF" w:sz="0"/>
            </w:tcBorders>
            <w:shd w:fill="EFF6FF" w:val="clear"/>
            <w:tcMar>
              <w:top w:type="dxa" w:w="100"/>
              <w:left w:type="dxa" w:w="120"/>
              <w:bottom w:type="dxa" w:w="100"/>
              <w:right w:type="dxa" w:w="120"/>
            </w:tcMar>
            <w:vAlign w:val="center"/>
          </w:tcPr>
          <w:p>
            <w:pPr>
              <w:jc w:val="center"/>
            </w:pPr>
            <w:r>
              <w:rPr>
                <w:rFonts w:ascii="Arial" w:cs="Arial" w:eastAsia="Arial" w:hAnsi="Arial"/>
                <w:b/>
                <w:bCs/>
                <w:color w:val="1D4ED8"/>
                <w:sz w:val="14"/>
                <w:szCs w:val="14"/>
              </w:rPr>
              <w:t xml:space="preserve">OBSERVED</w:t>
            </w:r>
          </w:p>
        </w:tc>
        <w:tc>
          <w:tcPr>
            <w:tcW w:type="dxa" w:w="9120"/>
            <w:gridSpan w:val="3"/>
            <w:tcBorders>
              <w:top w:val="none" w:color="FFFFFF" w:sz="0"/>
              <w:left w:val="none" w:color="FFFFFF" w:sz="0"/>
              <w:bottom w:val="single" w:color="BFDBFE" w:sz="1"/>
              <w:right w:val="none" w:color="FFFFFF" w:sz="0"/>
            </w:tcBorders>
            <w:shd w:fill="EFF6FF" w:val="clear"/>
            <w:tcMar>
              <w:top w:type="dxa" w:w="120"/>
              <w:left w:type="dxa" w:w="200"/>
              <w:bottom w:type="dxa" w:w="120"/>
              <w:right w:type="dxa" w:w="200"/>
            </w:tcMar>
          </w:tcPr>
          <w:p>
            <w:r>
              <w:rPr>
                <w:rFonts w:ascii="Arial" w:cs="Arial" w:eastAsia="Arial" w:hAnsi="Arial"/>
                <w:color w:val="111827"/>
                <w:sz w:val="20"/>
                <w:szCs w:val="20"/>
              </w:rPr>
              <w:t xml:space="preserve">The Vocallabs homepage says it's for 'sales, support &amp; booking.' The blogs cover healthcare, smart homes, and digital creators. The features page surfaces an SDK and an n8n node. The CTA is 'Book a Demo.' I genuinely couldn't tell who this product is for. Three entirely different buyer types, three different budgets, three different success metrics — all on the same page with the same CTA and zero customer logos.</w:t>
            </w:r>
          </w:p>
        </w:tc>
      </w:tr>
      <w:tr>
        <w:tc>
          <w:tcPr>
            <w:tcW w:type="dxa" w:w="600"/>
            <w:tcBorders>
              <w:top w:val="none" w:color="FFFFFF" w:sz="0"/>
              <w:left w:val="none" w:color="FFFFFF" w:sz="0"/>
              <w:bottom w:val="none" w:color="FFFFFF" w:sz="0"/>
              <w:right w:val="none" w:color="FFFFFF" w:sz="0"/>
            </w:tcBorders>
            <w:shd w:fill="FFF1F2" w:val="clear"/>
            <w:tcMar>
              <w:top w:type="dxa" w:w="100"/>
              <w:left w:type="dxa" w:w="120"/>
              <w:bottom w:type="dxa" w:w="100"/>
              <w:right w:type="dxa" w:w="120"/>
            </w:tcMar>
            <w:vAlign w:val="center"/>
          </w:tcPr>
          <w:p>
            <w:pPr>
              <w:jc w:val="center"/>
            </w:pPr>
            <w:r>
              <w:rPr>
                <w:rFonts w:ascii="Arial" w:cs="Arial" w:eastAsia="Arial" w:hAnsi="Arial"/>
                <w:b/>
                <w:bCs/>
                <w:color w:val="991B1B"/>
                <w:sz w:val="14"/>
                <w:szCs w:val="14"/>
              </w:rPr>
              <w:t xml:space="preserve">PROBLEM</w:t>
            </w:r>
          </w:p>
        </w:tc>
        <w:tc>
          <w:tcPr>
            <w:tcW w:type="dxa" w:w="9120"/>
            <w:gridSpan w:val="3"/>
            <w:tcBorders>
              <w:top w:val="none" w:color="FFFFFF" w:sz="0"/>
              <w:left w:val="none" w:color="FFFFFF" w:sz="0"/>
              <w:bottom w:val="single" w:color="FECDD3" w:sz="1"/>
              <w:right w:val="none" w:color="FFFFFF" w:sz="0"/>
            </w:tcBorders>
            <w:shd w:fill="FFF1F2" w:val="clear"/>
            <w:tcMar>
              <w:top w:type="dxa" w:w="120"/>
              <w:left w:type="dxa" w:w="200"/>
              <w:bottom w:type="dxa" w:w="120"/>
              <w:right w:type="dxa" w:w="200"/>
            </w:tcMar>
          </w:tcPr>
          <w:p>
            <w:r>
              <w:rPr>
                <w:rFonts w:ascii="Arial" w:cs="Arial" w:eastAsia="Arial" w:hAnsi="Arial"/>
                <w:color w:val="111827"/>
                <w:sz w:val="20"/>
                <w:szCs w:val="20"/>
              </w:rPr>
              <w:t xml:space="preserve">Bolna is developer-first. Open-source, GitHub-linked, docs-first. Gnani is enterprise-first — BFSI logos, 100M+ call volume claims, compliance-heavy. Vocallabs is trying to win both simultaneously with one homepage, and it's going to lose to both. Developers bounce because there's no self-serve. Enterprise buyers don't see peers on the site. SMBs don't know if this is for them at all. Being for everyone means the sales team gets a flood of unqualified leads and the product has no story to tell. That's a GTM leak that compounds every month.</w:t>
            </w:r>
          </w:p>
        </w:tc>
      </w:tr>
      <w:tr>
        <w:tc>
          <w:tcPr>
            <w:tcW w:type="dxa" w:w="6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65F46"/>
                <w:sz w:val="14"/>
                <w:szCs w:val="14"/>
              </w:rPr>
              <w:t xml:space="preserve">SHIP INSTEAD</w:t>
            </w:r>
          </w:p>
        </w:tc>
        <w:tc>
          <w:tcPr>
            <w:tcW w:type="dxa" w:w="9120"/>
            <w:gridSpan w:val="3"/>
            <w:tcBorders>
              <w:top w:val="none" w:color="FFFFFF" w:sz="0"/>
              <w:left w:val="none" w:color="FFFFFF" w:sz="0"/>
              <w:bottom w:val="single" w:color="BBF7D0" w:sz="1"/>
              <w:right w:val="none" w:color="FFFFFF" w:sz="0"/>
            </w:tcBorders>
            <w:shd w:fill="F0FDF4" w:val="clear"/>
            <w:tcMar>
              <w:top w:type="dxa" w:w="120"/>
              <w:left w:type="dxa" w:w="200"/>
              <w:bottom w:type="dxa" w:w="120"/>
              <w:right w:type="dxa" w:w="200"/>
            </w:tcMar>
          </w:tcPr>
          <w:p>
            <w:r>
              <w:rPr>
                <w:rFonts w:ascii="Arial" w:cs="Arial" w:eastAsia="Arial" w:hAnsi="Arial"/>
                <w:color w:val="111827"/>
                <w:sz w:val="20"/>
                <w:szCs w:val="20"/>
              </w:rPr>
              <w:t xml:space="preserve">Pick one ICP for the next 6 months. Given the actual moats — India-first, hybrid handoff, full-stack — the highest-leverage bet is D2C and e-commerce brands doing 500–10,000 orders/month with a COD RTO problem. Build one landing page specifically for them: 'Cut RTO by 25% with automated Hindi/Hinglish COD confirmation calls — live in one day.' Run LinkedIn to Founders and Heads of Ops at Shopify India merchants. Get 10 logos and one published case study. Then expand. You can't win every segment without winning one first.</w:t>
            </w:r>
          </w:p>
        </w:tc>
      </w:tr>
    </w:tbl>
    <w:p>
      <w:pPr>
        <w:spacing w:after="160" w:before="160"/>
      </w:pPr>
      <w:r>
        <w:t xml:space="preserve"/>
      </w:r>
    </w:p>
    <w:tbl>
      <w:tblPr>
        <w:tblW w:type="dxa" w:w="9360"/>
        <w:tblBorders>
          <w:top w:val="single" w:color="C4B5FD" w:sz="1"/>
          <w:left w:val="single" w:color="C4B5FD" w:sz="1"/>
          <w:bottom w:val="single" w:color="C4B5FD" w:sz="1"/>
          <w:right w:val="single" w:color="C4B5FD" w:sz="1"/>
          <w:insideH w:val="single" w:color="auto" w:sz="4"/>
          <w:insideV w:val="single" w:color="auto" w:sz="4"/>
        </w:tblBorders>
      </w:tblPr>
      <w:tblGrid>
        <w:gridCol w:w="600"/>
        <w:gridCol w:w="6560"/>
        <w:gridCol w:w="2200"/>
        <w:gridCol w:w="0"/>
      </w:tblGrid>
      <w:tr>
        <w:tc>
          <w:tcPr>
            <w:tcW w:type="dxa" w:w="600"/>
            <w:tcBorders>
              <w:top w:val="none" w:color="FFFFFF" w:sz="0"/>
              <w:left w:val="none" w:color="FFFFFF" w:sz="0"/>
              <w:bottom w:val="none" w:color="FFFFFF" w:sz="0"/>
              <w:right w:val="none" w:color="FFFFFF" w:sz="0"/>
            </w:tcBorders>
            <w:shd w:fill="4F46E5" w:val="clear"/>
            <w:tcMar>
              <w:top w:type="dxa" w:w="140"/>
              <w:left w:type="dxa" w:w="140"/>
              <w:bottom w:type="dxa" w:w="140"/>
              <w:right w:type="dxa" w:w="140"/>
            </w:tcMar>
            <w:vAlign w:val="center"/>
          </w:tcPr>
          <w:p>
            <w:pPr>
              <w:jc w:val="center"/>
            </w:pPr>
            <w:r>
              <w:rPr>
                <w:rFonts w:ascii="Arial" w:cs="Arial" w:eastAsia="Arial" w:hAnsi="Arial"/>
                <w:b/>
                <w:bCs/>
                <w:color w:val="FFFFFF"/>
                <w:sz w:val="28"/>
                <w:szCs w:val="28"/>
              </w:rPr>
              <w:t xml:space="preserve">05</w:t>
            </w:r>
          </w:p>
        </w:tc>
        <w:tc>
          <w:tcPr>
            <w:tcW w:type="dxa" w:w="6560"/>
            <w:tcBorders>
              <w:top w:val="none" w:color="FFFFFF" w:sz="0"/>
              <w:left w:val="none" w:color="FFFFFF" w:sz="0"/>
              <w:bottom w:val="none" w:color="FFFFFF" w:sz="0"/>
              <w:right w:val="none" w:color="FFFFFF" w:sz="0"/>
            </w:tcBorders>
            <w:shd w:fill="1E1B4B" w:val="clear"/>
            <w:tcMar>
              <w:top w:type="dxa" w:w="140"/>
              <w:left w:type="dxa" w:w="200"/>
              <w:bottom w:type="dxa" w:w="140"/>
              <w:right w:type="dxa" w:w="200"/>
            </w:tcMar>
            <w:vAlign w:val="center"/>
          </w:tcPr>
          <w:p>
            <w:r>
              <w:rPr>
                <w:rFonts w:ascii="Arial" w:cs="Arial" w:eastAsia="Arial" w:hAnsi="Arial"/>
                <w:b/>
                <w:bCs/>
                <w:color w:val="FFFFFF"/>
                <w:sz w:val="22"/>
                <w:szCs w:val="22"/>
              </w:rPr>
              <w:t xml:space="preserve">The Shopify x D2C Wedge Is a Rs. 100 Cr Problem Nobody Has Claimed Yet</w:t>
            </w:r>
          </w:p>
        </w:tc>
        <w:tc>
          <w:tcPr>
            <w:tcW w:type="dxa" w:w="2200"/>
            <w:tcBorders>
              <w:top w:val="none" w:color="FFFFFF" w:sz="0"/>
              <w:left w:val="none" w:color="FFFFFF" w:sz="0"/>
              <w:bottom w:val="none" w:color="FFFFFF" w:sz="0"/>
              <w:right w:val="none" w:color="FFFFFF" w:sz="0"/>
            </w:tcBorders>
            <w:shd w:fill="E0E7FF" w:val="clear"/>
            <w:tcMar>
              <w:top w:type="dxa" w:w="100"/>
              <w:left w:type="dxa" w:w="140"/>
              <w:bottom w:type="dxa" w:w="100"/>
              <w:right w:type="dxa" w:w="140"/>
            </w:tcMar>
            <w:vAlign w:val="center"/>
          </w:tcPr>
          <w:p>
            <w:pPr>
              <w:jc w:val="center"/>
            </w:pPr>
            <w:r>
              <w:rPr>
                <w:rFonts w:ascii="Arial" w:cs="Arial" w:eastAsia="Arial" w:hAnsi="Arial"/>
                <w:b/>
                <w:bCs/>
                <w:color w:val="3730A3"/>
                <w:sz w:val="17"/>
                <w:szCs w:val="17"/>
              </w:rPr>
              <w:t xml:space="preserve">Potential Collaborations</w:t>
            </w:r>
          </w:p>
        </w:tc>
        <w:tc>
          <w:tcPr>
            <w:tcW w:type="dxa" w:w="560"/>
            <w:tcBorders>
              <w:top w:val="none" w:color="FFFFFF" w:sz="0"/>
              <w:left w:val="none" w:color="FFFFFF" w:sz="0"/>
              <w:bottom w:val="none" w:color="FFFFFF" w:sz="0"/>
              <w:right w:val="none" w:color="FFFFFF" w:sz="0"/>
            </w:tcBorders>
            <w:shd w:fill="EF4444"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P0</w:t>
            </w:r>
          </w:p>
        </w:tc>
      </w:tr>
      <w:tr>
        <w:tc>
          <w:tcPr>
            <w:tcW w:type="dxa" w:w="600"/>
            <w:tcBorders>
              <w:top w:val="none" w:color="FFFFFF" w:sz="0"/>
              <w:left w:val="none" w:color="FFFFFF" w:sz="0"/>
              <w:bottom w:val="none" w:color="FFFFFF" w:sz="0"/>
              <w:right w:val="none" w:color="FFFFFF" w:sz="0"/>
            </w:tcBorders>
            <w:shd w:fill="EFF6FF" w:val="clear"/>
            <w:tcMar>
              <w:top w:type="dxa" w:w="100"/>
              <w:left w:type="dxa" w:w="120"/>
              <w:bottom w:type="dxa" w:w="100"/>
              <w:right w:type="dxa" w:w="120"/>
            </w:tcMar>
            <w:vAlign w:val="center"/>
          </w:tcPr>
          <w:p>
            <w:pPr>
              <w:jc w:val="center"/>
            </w:pPr>
            <w:r>
              <w:rPr>
                <w:rFonts w:ascii="Arial" w:cs="Arial" w:eastAsia="Arial" w:hAnsi="Arial"/>
                <w:b/>
                <w:bCs/>
                <w:color w:val="1D4ED8"/>
                <w:sz w:val="14"/>
                <w:szCs w:val="14"/>
              </w:rPr>
              <w:t xml:space="preserve">OBSERVED</w:t>
            </w:r>
          </w:p>
        </w:tc>
        <w:tc>
          <w:tcPr>
            <w:tcW w:type="dxa" w:w="9120"/>
            <w:gridSpan w:val="3"/>
            <w:tcBorders>
              <w:top w:val="none" w:color="FFFFFF" w:sz="0"/>
              <w:left w:val="none" w:color="FFFFFF" w:sz="0"/>
              <w:bottom w:val="single" w:color="BFDBFE" w:sz="1"/>
              <w:right w:val="none" w:color="FFFFFF" w:sz="0"/>
            </w:tcBorders>
            <w:shd w:fill="EFF6FF" w:val="clear"/>
            <w:tcMar>
              <w:top w:type="dxa" w:w="120"/>
              <w:left w:type="dxa" w:w="200"/>
              <w:bottom w:type="dxa" w:w="120"/>
              <w:right w:type="dxa" w:w="200"/>
            </w:tcMar>
          </w:tcPr>
          <w:p>
            <w:r>
              <w:rPr>
                <w:rFonts w:ascii="Arial" w:cs="Arial" w:eastAsia="Arial" w:hAnsi="Arial"/>
                <w:color w:val="111827"/>
                <w:sz w:val="20"/>
                <w:szCs w:val="20"/>
              </w:rPr>
              <w:t xml:space="preserve">Vocallabs has an SDK, an n8n node, and a Chrome extension. That's the integration layer. No Shopify. No WooCommerce. No Zoho CRM. No Freshdesk. The Chrome extension has no explanation of what it actually automates. The n8n node has no featured template in the n8n marketplace. No integration logos anywhere on the site. No partner ecosystem page. The integrations exist but they're invisible — which means the buyers who need them most don't know about them.</w:t>
            </w:r>
          </w:p>
        </w:tc>
      </w:tr>
      <w:tr>
        <w:tc>
          <w:tcPr>
            <w:tcW w:type="dxa" w:w="600"/>
            <w:tcBorders>
              <w:top w:val="none" w:color="FFFFFF" w:sz="0"/>
              <w:left w:val="none" w:color="FFFFFF" w:sz="0"/>
              <w:bottom w:val="none" w:color="FFFFFF" w:sz="0"/>
              <w:right w:val="none" w:color="FFFFFF" w:sz="0"/>
            </w:tcBorders>
            <w:shd w:fill="FFF1F2" w:val="clear"/>
            <w:tcMar>
              <w:top w:type="dxa" w:w="100"/>
              <w:left w:type="dxa" w:w="120"/>
              <w:bottom w:type="dxa" w:w="100"/>
              <w:right w:type="dxa" w:w="120"/>
            </w:tcMar>
            <w:vAlign w:val="center"/>
          </w:tcPr>
          <w:p>
            <w:pPr>
              <w:jc w:val="center"/>
            </w:pPr>
            <w:r>
              <w:rPr>
                <w:rFonts w:ascii="Arial" w:cs="Arial" w:eastAsia="Arial" w:hAnsi="Arial"/>
                <w:b/>
                <w:bCs/>
                <w:color w:val="991B1B"/>
                <w:sz w:val="14"/>
                <w:szCs w:val="14"/>
              </w:rPr>
              <w:t xml:space="preserve">PROBLEM</w:t>
            </w:r>
          </w:p>
        </w:tc>
        <w:tc>
          <w:tcPr>
            <w:tcW w:type="dxa" w:w="9120"/>
            <w:gridSpan w:val="3"/>
            <w:tcBorders>
              <w:top w:val="none" w:color="FFFFFF" w:sz="0"/>
              <w:left w:val="none" w:color="FFFFFF" w:sz="0"/>
              <w:bottom w:val="single" w:color="FECDD3" w:sz="1"/>
              <w:right w:val="none" w:color="FFFFFF" w:sz="0"/>
            </w:tcBorders>
            <w:shd w:fill="FFF1F2" w:val="clear"/>
            <w:tcMar>
              <w:top w:type="dxa" w:w="120"/>
              <w:left w:type="dxa" w:w="200"/>
              <w:bottom w:type="dxa" w:w="120"/>
              <w:right w:type="dxa" w:w="200"/>
            </w:tcMar>
          </w:tcPr>
          <w:p>
            <w:r>
              <w:rPr>
                <w:rFonts w:ascii="Arial" w:cs="Arial" w:eastAsia="Arial" w:hAnsi="Arial"/>
                <w:color w:val="111827"/>
                <w:sz w:val="20"/>
                <w:szCs w:val="20"/>
              </w:rPr>
              <w:t xml:space="preserve">India has 1.5M+ Shopify stores. COD is 60–65% of D2C GMV. RTO rate on COD orders is 30–40% — and every returned order costs a brand ₹150–300 in logistics and restocking. A 45-second automated voice call in Hindi or Hinglish right after COD order placement — 'press 1 to confirm, press 2 to cancel' — cuts RTO by 20–30 points. That's a direct, calculable ROI any D2C founder can work out on a napkin before they ever talk to a sales rep. Vocallabs is built to do exactly this. But without a native Shopify app, a brand's ops team needs a developer to wire it up — and most D2C brands don't have that. Shiprocket could ship this feature in a sprint and make Vocallabs irrelevant in this segment overnight.</w:t>
            </w:r>
          </w:p>
        </w:tc>
      </w:tr>
      <w:tr>
        <w:tc>
          <w:tcPr>
            <w:tcW w:type="dxa" w:w="600"/>
            <w:tcBorders>
              <w:top w:val="none" w:color="FFFFFF" w:sz="0"/>
              <w:left w:val="none" w:color="FFFFFF" w:sz="0"/>
              <w:bottom w:val="none" w:color="FFFFFF" w:sz="0"/>
              <w:right w:val="none" w:color="FFFFFF" w:sz="0"/>
            </w:tcBorders>
            <w:shd w:fill="F0FDF4" w:val="clear"/>
            <w:tcMar>
              <w:top w:type="dxa" w:w="100"/>
              <w:left w:type="dxa" w:w="120"/>
              <w:bottom w:type="dxa" w:w="100"/>
              <w:right w:type="dxa" w:w="120"/>
            </w:tcMar>
            <w:vAlign w:val="center"/>
          </w:tcPr>
          <w:p>
            <w:pPr>
              <w:jc w:val="center"/>
            </w:pPr>
            <w:r>
              <w:rPr>
                <w:rFonts w:ascii="Arial" w:cs="Arial" w:eastAsia="Arial" w:hAnsi="Arial"/>
                <w:b/>
                <w:bCs/>
                <w:color w:val="065F46"/>
                <w:sz w:val="14"/>
                <w:szCs w:val="14"/>
              </w:rPr>
              <w:t xml:space="preserve">SHIP INSTEAD</w:t>
            </w:r>
          </w:p>
        </w:tc>
        <w:tc>
          <w:tcPr>
            <w:tcW w:type="dxa" w:w="9120"/>
            <w:gridSpan w:val="3"/>
            <w:tcBorders>
              <w:top w:val="none" w:color="FFFFFF" w:sz="0"/>
              <w:left w:val="none" w:color="FFFFFF" w:sz="0"/>
              <w:bottom w:val="single" w:color="BBF7D0" w:sz="1"/>
              <w:right w:val="none" w:color="FFFFFF" w:sz="0"/>
            </w:tcBorders>
            <w:shd w:fill="F0FDF4" w:val="clear"/>
            <w:tcMar>
              <w:top w:type="dxa" w:w="120"/>
              <w:left w:type="dxa" w:w="200"/>
              <w:bottom w:type="dxa" w:w="120"/>
              <w:right w:type="dxa" w:w="200"/>
            </w:tcMar>
          </w:tcPr>
          <w:p>
            <w:r>
              <w:rPr>
                <w:rFonts w:ascii="Arial" w:cs="Arial" w:eastAsia="Arial" w:hAnsi="Arial"/>
                <w:color w:val="111827"/>
                <w:sz w:val="20"/>
                <w:szCs w:val="20"/>
              </w:rPr>
              <w:t xml:space="preserve">Build and list a Shopify x Vocallabs certified app. One-click install. Auto-trigger on COD order placement. Pre-built Hinglish confirmation script. Dashboard showing call success rate and RTO reduction side by side. Price it at Rs. 3,000–8,000/month for 1,000–5,000 calls — the ROI math is immediate. Distribute through Shiprocket's merchant network and 2–3 D2C agencies. Target 200 paying logos in 6 months. This single integration creates the ICP story, the case study, and a distribution flywheel through Shopify App Store reviews — all in one shot.</w:t>
            </w:r>
          </w:p>
        </w:tc>
      </w:tr>
    </w:tbl>
    <w:p>
      <w:pPr>
        <w:spacing w:after="200" w:before="2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left w:val="single" w:color="4F46E5" w:sz="16"/>
            </w:tcBorders>
            <w:shd w:fill="F5F3FF" w:val="clear"/>
            <w:tcMar>
              <w:top w:type="dxa" w:w="200"/>
              <w:left w:type="dxa" w:w="280"/>
              <w:bottom w:type="dxa" w:w="200"/>
              <w:right w:type="dxa" w:w="280"/>
            </w:tcMar>
          </w:tcPr>
          <w:p>
            <w:pPr>
              <w:spacing w:after="80"/>
            </w:pPr>
            <w:r>
              <w:rPr>
                <w:rFonts w:ascii="Arial" w:cs="Arial" w:eastAsia="Arial" w:hAnsi="Arial"/>
                <w:b/>
                <w:bCs/>
                <w:color w:val="4F46E5"/>
                <w:sz w:val="24"/>
                <w:szCs w:val="24"/>
              </w:rPr>
              <w:t xml:space="preserve">What I'd own from Day 1</w:t>
            </w:r>
          </w:p>
          <w:p>
            <w:pPr>
              <w:spacing w:after="80"/>
            </w:pPr>
            <w:r>
              <w:rPr>
                <w:rFonts w:ascii="Arial" w:cs="Arial" w:eastAsia="Arial" w:hAnsi="Arial"/>
                <w:color w:val="374151"/>
                <w:sz w:val="20"/>
                <w:szCs w:val="20"/>
              </w:rPr>
              <w:t xml:space="preserve">I'd run the self-serve sandbox (#1) and the Shopify app (#5) in parallel. Both are independently shippable. Both have a clear success metric. Both directly unblock the ICP story. The India-First proof layer (#2) is a two-week writing sprint — one benchmark post and a homepage demo — that makes every subsequent sales call shorter.</w:t>
            </w:r>
          </w:p>
          <w:p>
            <w:r>
              <w:rPr>
                <w:rFonts w:ascii="Arial" w:cs="Arial" w:eastAsia="Arial" w:hAnsi="Arial"/>
                <w:i/>
                <w:iCs/>
                <w:color w:val="374151"/>
                <w:sz w:val="20"/>
                <w:szCs w:val="20"/>
              </w:rPr>
              <w:t xml:space="preserve">The bigger call this teardown is making: Vocallabs needs to stop being a product that could be for anyone. The moats are real — India-tuned, full-stack, data flywheel. The problem is nobody outside the company can see them. Fix the signalling, and the product sells itself.</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FE" w:sz="4" w:space="1"/>
      </w:pBdr>
      <w:tabs>
        <w:tab w:val="right" w:pos="9000"/>
      </w:tabs>
    </w:pPr>
    <w:r>
      <w:rPr>
        <w:rFonts w:ascii="Arial" w:cs="Arial" w:eastAsia="Arial" w:hAnsi="Arial"/>
        <w:color w:val="6B7280"/>
        <w:sz w:val="16"/>
        <w:szCs w:val="16"/>
      </w:rPr>
      <w:t xml:space="preserve">eshan.tiwari16@gmail.com</w:t>
    </w:r>
    <w:r>
      <w:rPr>
        <w:rFonts w:ascii="Arial" w:cs="Arial" w:eastAsia="Arial" w:hAnsi="Arial"/>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tabs>
        <w:tab w:val="right" w:pos="9000"/>
      </w:tabs>
    </w:pPr>
    <w:r>
      <w:rPr>
        <w:rFonts w:ascii="Arial" w:cs="Arial" w:eastAsia="Arial" w:hAnsi="Arial"/>
        <w:b/>
        <w:bCs/>
        <w:color w:val="4F46E5"/>
        <w:sz w:val="18"/>
        <w:szCs w:val="18"/>
      </w:rPr>
      <w:t xml:space="preserve">VOCALLABS.AI  |  PRODUCT TEARDOWN</w:t>
    </w:r>
    <w:r>
      <w:rPr>
        <w:rFonts w:ascii="Arial" w:cs="Arial" w:eastAsia="Arial" w:hAnsi="Arial"/>
      </w:rPr>
      <w:t xml:space="preserve">	</w:t>
    </w:r>
    <w:r>
      <w:rPr>
        <w:rFonts w:ascii="Arial" w:cs="Arial" w:eastAsia="Arial" w:hAnsi="Arial"/>
        <w:color w:val="6B7280"/>
        <w:sz w:val="18"/>
        <w:szCs w:val="18"/>
      </w:rPr>
      <w:t xml:space="preserve">Product Intern Assignment · Eshan Tiwari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2026-05-29T07:48:27.316Z</dcterms:created>
  <dcterms:modified xsi:type="dcterms:W3CDTF">2026-05-29T07:48:27.329Z</dcterms:modified>
</cp:coreProperties>
</file>

<file path=docProps/custom.xml><?xml version="1.0" encoding="utf-8"?>
<Properties xmlns="http://schemas.openxmlformats.org/officeDocument/2006/custom-properties" xmlns:vt="http://schemas.openxmlformats.org/officeDocument/2006/docPropsVTypes"/>
</file>