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Email Summary</w:t>
      </w:r>
    </w:p>
    <w:p>
      <w:pPr>
        <w:jc w:val="center"/>
      </w:pPr>
      <w:r>
        <w:rPr>
          <w:i/>
          <w:color w:val="666666"/>
          <w:sz w:val="20"/>
        </w:rPr>
        <w:t>Immediate Attention Required: Critical Supply Chain Issues Impacting FDA Compliance</w:t>
      </w:r>
    </w:p>
    <w:p/>
    <w:p>
      <w:pPr>
        <w:pStyle w:val="Heading1"/>
      </w:pPr>
      <w:r>
        <w:t>Executive Summary</w:t>
      </w:r>
    </w:p>
    <w:p>
      <w:r>
        <w:t>The communication indicates an urgent, cross-functional supply chain threat affecting material quality, traceability, supplier GMP performance, production continuity, and FDA readiness. Immediate containment and documented governance are required while longer-term sourcing and supplier remediation proceed in parallel.</w:t>
      </w:r>
    </w:p>
    <w:p>
      <w:pPr>
        <w:pStyle w:val="Heading1"/>
      </w:pPr>
      <w:r>
        <w:t>Critical Issues Identified</w:t>
      </w:r>
    </w:p>
    <w:p>
      <w:pPr>
        <w:pStyle w:val="ListBullet"/>
      </w:pPr>
      <w:r>
        <w:t>BIND567 material quality variability: inconsistent molecular composition creates product stability and rejection risk, with limited clarity on the supplier correction timeline.</w:t>
      </w:r>
    </w:p>
    <w:p>
      <w:pPr>
        <w:pStyle w:val="ListBullet"/>
      </w:pPr>
      <w:r>
        <w:t>COMP042 traceability and logistics failures: shipment delays, missing documents, and lot-to-manifest mismatches prevent full material genealogy verification and have already interrupted production.</w:t>
      </w:r>
    </w:p>
    <w:p>
      <w:pPr>
        <w:pStyle w:val="ListBullet"/>
      </w:pPr>
      <w:r>
        <w:t>COMP043 supplier GMP and continuity risk: cleanroom protocol weaknesses and erratic deliveries create contamination, nonconformance, and stockout exposure.</w:t>
      </w:r>
    </w:p>
    <w:p>
      <w:pPr>
        <w:pStyle w:val="ListBullet"/>
      </w:pPr>
      <w:r>
        <w:t>Cross-cutting business impact: production disruption, expedited freight, constrained capacity, additional testing, and increased compliance-documentation burden.</w:t>
      </w:r>
    </w:p>
    <w:p>
      <w:pPr>
        <w:pStyle w:val="ListBullet"/>
      </w:pPr>
      <w:r>
        <w:t>Supplier governance weakness: recurring issues and delayed corrective action evidence indicate insufficient escalation, monitoring, and contingency planning.</w:t>
      </w:r>
    </w:p>
    <w:p>
      <w:pPr>
        <w:pStyle w:val="Heading1"/>
      </w:pPr>
      <w:r>
        <w:t>Five Recommended Next Steps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7365D"/>
            <w:vAlign w:val="center"/>
          </w:tcPr>
          <w:p>
            <w:r/>
            <w:r>
              <w:rPr>
                <w:b/>
                <w:color w:val="FFFFFF"/>
                <w:sz w:val="18"/>
              </w:rPr>
              <w:t>Priority / Timing</w:t>
            </w:r>
          </w:p>
        </w:tc>
        <w:tc>
          <w:tcPr>
            <w:tcW w:type="dxa" w:w="2016"/>
            <w:shd w:fill="17365D"/>
            <w:vAlign w:val="center"/>
          </w:tcPr>
          <w:p>
            <w:r/>
            <w:r>
              <w:rPr>
                <w:b/>
                <w:color w:val="FFFFFF"/>
                <w:sz w:val="18"/>
              </w:rPr>
              <w:t>Action</w:t>
            </w:r>
          </w:p>
        </w:tc>
        <w:tc>
          <w:tcPr>
            <w:tcW w:type="dxa" w:w="2016"/>
            <w:shd w:fill="17365D"/>
            <w:vAlign w:val="center"/>
          </w:tcPr>
          <w:p>
            <w:r/>
            <w:r>
              <w:rPr>
                <w:b/>
                <w:color w:val="FFFFFF"/>
                <w:sz w:val="18"/>
              </w:rPr>
              <w:t>Owner</w:t>
            </w:r>
          </w:p>
        </w:tc>
        <w:tc>
          <w:tcPr>
            <w:tcW w:type="dxa" w:w="2016"/>
            <w:shd w:fill="17365D"/>
            <w:vAlign w:val="center"/>
          </w:tcPr>
          <w:p>
            <w:r/>
            <w:r>
              <w:rPr>
                <w:b/>
                <w:color w:val="FFFFFF"/>
                <w:sz w:val="18"/>
              </w:rPr>
              <w:t>Evidence / KPI</w:t>
            </w:r>
          </w:p>
        </w:tc>
        <w:tc>
          <w:tcPr>
            <w:tcW w:type="dxa" w:w="2016"/>
            <w:shd w:fill="17365D"/>
            <w:vAlign w:val="center"/>
          </w:tcPr>
          <w:p>
            <w:r/>
            <w:r>
              <w:rPr>
                <w:b/>
                <w:color w:val="FFFFFF"/>
                <w:sz w:val="18"/>
              </w:rPr>
              <w:t>Status</w:t>
            </w:r>
          </w:p>
        </w:tc>
      </w:tr>
      <w:tr>
        <w:tc>
          <w:tcPr>
            <w:tcW w:type="dxa" w:w="2016"/>
            <w:vAlign w:val="center"/>
          </w:tcPr>
          <w:p>
            <w:r/>
            <w:r>
              <w:rPr>
                <w:b w:val="0"/>
                <w:sz w:val="17"/>
              </w:rPr>
              <w:t>Immediate</w:t>
            </w:r>
          </w:p>
        </w:tc>
        <w:tc>
          <w:tcPr>
            <w:tcW w:type="dxa" w:w="2016"/>
            <w:vAlign w:val="center"/>
          </w:tcPr>
          <w:p>
            <w:r/>
            <w:r>
              <w:rPr>
                <w:b w:val="0"/>
                <w:sz w:val="17"/>
              </w:rPr>
              <w:t>Quarantine or hold at-risk lots and initiate expedited incoming testing before release.</w:t>
            </w:r>
          </w:p>
        </w:tc>
        <w:tc>
          <w:tcPr>
            <w:tcW w:type="dxa" w:w="2016"/>
            <w:vAlign w:val="center"/>
          </w:tcPr>
          <w:p>
            <w:r/>
            <w:r>
              <w:rPr>
                <w:b w:val="0"/>
                <w:sz w:val="17"/>
              </w:rPr>
              <w:t>Quality / Manufacturing</w:t>
            </w:r>
          </w:p>
        </w:tc>
        <w:tc>
          <w:tcPr>
            <w:tcW w:type="dxa" w:w="2016"/>
            <w:vAlign w:val="center"/>
          </w:tcPr>
          <w:p>
            <w:r/>
            <w:r>
              <w:rPr>
                <w:b w:val="0"/>
                <w:sz w:val="17"/>
              </w:rPr>
              <w:t>Lot disposition documented; testing completed</w:t>
            </w:r>
          </w:p>
        </w:tc>
        <w:tc>
          <w:tcPr>
            <w:tcW w:type="dxa" w:w="2016"/>
          </w:tcPr>
          <w:p/>
        </w:tc>
      </w:tr>
      <w:tr>
        <w:tc>
          <w:tcPr>
            <w:tcW w:type="dxa" w:w="2016"/>
            <w:vAlign w:val="center"/>
          </w:tcPr>
          <w:p>
            <w:r/>
            <w:r>
              <w:rPr>
                <w:b w:val="0"/>
                <w:sz w:val="17"/>
              </w:rPr>
              <w:t>Within 24 hours</w:t>
            </w:r>
          </w:p>
        </w:tc>
        <w:tc>
          <w:tcPr>
            <w:tcW w:type="dxa" w:w="2016"/>
            <w:vAlign w:val="center"/>
          </w:tcPr>
          <w:p>
            <w:r/>
            <w:r>
              <w:rPr>
                <w:b w:val="0"/>
                <w:sz w:val="17"/>
              </w:rPr>
              <w:t>Launch a cross-functional response team with one issue log, decision rights, and a daily checkpoint.</w:t>
            </w:r>
          </w:p>
        </w:tc>
        <w:tc>
          <w:tcPr>
            <w:tcW w:type="dxa" w:w="2016"/>
            <w:vAlign w:val="center"/>
          </w:tcPr>
          <w:p>
            <w:r/>
            <w:r>
              <w:rPr>
                <w:b w:val="0"/>
                <w:sz w:val="17"/>
              </w:rPr>
              <w:t>Supply Chain Lead</w:t>
            </w:r>
          </w:p>
        </w:tc>
        <w:tc>
          <w:tcPr>
            <w:tcW w:type="dxa" w:w="2016"/>
            <w:vAlign w:val="center"/>
          </w:tcPr>
          <w:p>
            <w:r/>
            <w:r>
              <w:rPr>
                <w:b w:val="0"/>
                <w:sz w:val="17"/>
              </w:rPr>
              <w:t>Issue log active; owners assigned</w:t>
            </w:r>
          </w:p>
        </w:tc>
        <w:tc>
          <w:tcPr>
            <w:tcW w:type="dxa" w:w="2016"/>
          </w:tcPr>
          <w:p/>
        </w:tc>
      </w:tr>
      <w:tr>
        <w:tc>
          <w:tcPr>
            <w:tcW w:type="dxa" w:w="2016"/>
            <w:vAlign w:val="center"/>
          </w:tcPr>
          <w:p>
            <w:r/>
            <w:r>
              <w:rPr>
                <w:b w:val="0"/>
                <w:sz w:val="17"/>
              </w:rPr>
              <w:t>Within 24–48 hours</w:t>
            </w:r>
          </w:p>
        </w:tc>
        <w:tc>
          <w:tcPr>
            <w:tcW w:type="dxa" w:w="2016"/>
            <w:vAlign w:val="center"/>
          </w:tcPr>
          <w:p>
            <w:r/>
            <w:r>
              <w:rPr>
                <w:b w:val="0"/>
                <w:sz w:val="17"/>
              </w:rPr>
              <w:t>Issue formal supplier escalations requesting root cause, CAPA, evidence, and committed recovery dates.</w:t>
            </w:r>
          </w:p>
        </w:tc>
        <w:tc>
          <w:tcPr>
            <w:tcW w:type="dxa" w:w="2016"/>
            <w:vAlign w:val="center"/>
          </w:tcPr>
          <w:p>
            <w:r/>
            <w:r>
              <w:rPr>
                <w:b w:val="0"/>
                <w:sz w:val="17"/>
              </w:rPr>
              <w:t>Procurement / Supplier Quality</w:t>
            </w:r>
          </w:p>
        </w:tc>
        <w:tc>
          <w:tcPr>
            <w:tcW w:type="dxa" w:w="2016"/>
            <w:vAlign w:val="center"/>
          </w:tcPr>
          <w:p>
            <w:r/>
            <w:r>
              <w:rPr>
                <w:b w:val="0"/>
                <w:sz w:val="17"/>
              </w:rPr>
              <w:t>Written CAPA and recovery plan received</w:t>
            </w:r>
          </w:p>
        </w:tc>
        <w:tc>
          <w:tcPr>
            <w:tcW w:type="dxa" w:w="2016"/>
          </w:tcPr>
          <w:p/>
        </w:tc>
      </w:tr>
      <w:tr>
        <w:tc>
          <w:tcPr>
            <w:tcW w:type="dxa" w:w="2016"/>
            <w:vAlign w:val="center"/>
          </w:tcPr>
          <w:p>
            <w:r/>
            <w:r>
              <w:rPr>
                <w:b w:val="0"/>
                <w:sz w:val="17"/>
              </w:rPr>
              <w:t>Within 1 week</w:t>
            </w:r>
          </w:p>
        </w:tc>
        <w:tc>
          <w:tcPr>
            <w:tcW w:type="dxa" w:w="2016"/>
            <w:vAlign w:val="center"/>
          </w:tcPr>
          <w:p>
            <w:r/>
            <w:r>
              <w:rPr>
                <w:b w:val="0"/>
                <w:sz w:val="17"/>
              </w:rPr>
              <w:t>Reconcile CoA/CoC, lot numbers, manifests, and chain-of-custody records; enforce “no documentation, no release.”</w:t>
            </w:r>
          </w:p>
        </w:tc>
        <w:tc>
          <w:tcPr>
            <w:tcW w:type="dxa" w:w="2016"/>
            <w:vAlign w:val="center"/>
          </w:tcPr>
          <w:p>
            <w:r/>
            <w:r>
              <w:rPr>
                <w:b w:val="0"/>
                <w:sz w:val="17"/>
              </w:rPr>
              <w:t>Quality / Compliance</w:t>
            </w:r>
          </w:p>
        </w:tc>
        <w:tc>
          <w:tcPr>
            <w:tcW w:type="dxa" w:w="2016"/>
            <w:vAlign w:val="center"/>
          </w:tcPr>
          <w:p>
            <w:r/>
            <w:r>
              <w:rPr>
                <w:b w:val="0"/>
                <w:sz w:val="17"/>
              </w:rPr>
              <w:t>Documentation completeness ≥ agreed threshold</w:t>
            </w:r>
          </w:p>
        </w:tc>
        <w:tc>
          <w:tcPr>
            <w:tcW w:type="dxa" w:w="2016"/>
          </w:tcPr>
          <w:p/>
        </w:tc>
      </w:tr>
      <w:tr>
        <w:tc>
          <w:tcPr>
            <w:tcW w:type="dxa" w:w="2016"/>
            <w:vAlign w:val="center"/>
          </w:tcPr>
          <w:p>
            <w:r/>
            <w:r>
              <w:rPr>
                <w:b w:val="0"/>
                <w:sz w:val="17"/>
              </w:rPr>
              <w:t>Within 1–3 weeks</w:t>
            </w:r>
          </w:p>
        </w:tc>
        <w:tc>
          <w:tcPr>
            <w:tcW w:type="dxa" w:w="2016"/>
            <w:vAlign w:val="center"/>
          </w:tcPr>
          <w:p>
            <w:r/>
            <w:r>
              <w:rPr>
                <w:b w:val="0"/>
                <w:sz w:val="17"/>
              </w:rPr>
              <w:t>Qualify alternate sources and update safety stock, reorder points, and production plans based on risk.</w:t>
            </w:r>
          </w:p>
        </w:tc>
        <w:tc>
          <w:tcPr>
            <w:tcW w:type="dxa" w:w="2016"/>
            <w:vAlign w:val="center"/>
          </w:tcPr>
          <w:p>
            <w:r/>
            <w:r>
              <w:rPr>
                <w:b w:val="0"/>
                <w:sz w:val="17"/>
              </w:rPr>
              <w:t>Procurement / Planning</w:t>
            </w:r>
          </w:p>
        </w:tc>
        <w:tc>
          <w:tcPr>
            <w:tcW w:type="dxa" w:w="2016"/>
            <w:vAlign w:val="center"/>
          </w:tcPr>
          <w:p>
            <w:r/>
            <w:r>
              <w:rPr>
                <w:b w:val="0"/>
                <w:sz w:val="17"/>
              </w:rPr>
              <w:t>Backup source and revised planning parameters approved</w:t>
            </w:r>
          </w:p>
        </w:tc>
        <w:tc>
          <w:tcPr>
            <w:tcW w:type="dxa" w:w="2016"/>
          </w:tcPr>
          <w:p/>
        </w:tc>
      </w:tr>
    </w:tbl>
    <w:p>
      <w:pPr>
        <w:pStyle w:val="Heading1"/>
      </w:pPr>
      <w:r>
        <w:t>Conclusion</w:t>
      </w:r>
    </w:p>
    <w:p>
      <w:r>
        <w:t>The highest priority is to protect product quality and data integrity while preserving continuity of supply. The response should combine immediate material containment, supplier corrective action, traceability restoration, and parallel sourcing.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Task 1 | Internal training simulation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7A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