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Supply Chain Issues Review</w:t>
      </w:r>
    </w:p>
    <w:p>
      <w:pPr>
        <w:jc w:val="center"/>
      </w:pPr>
      <w:r>
        <w:rPr>
          <w:i/>
          <w:color w:val="666666"/>
          <w:sz w:val="20"/>
        </w:rPr>
        <w:t>Task 1 report</w:t>
      </w:r>
    </w:p>
    <w:p/>
    <w:p>
      <w:pPr>
        <w:pStyle w:val="Heading1"/>
      </w:pPr>
      <w:r>
        <w:t>Introduction</w:t>
      </w:r>
    </w:p>
    <w:p>
      <w:r>
        <w:t>This report consolidates the urgent supply chain concerns into a decision-ready view for Manufacturing, Procurement, Quality, Regulatory/Compliance, and Supply Chain leadership.</w:t>
      </w:r>
    </w:p>
    <w:p>
      <w:pPr>
        <w:pStyle w:val="Heading1"/>
      </w:pPr>
      <w:r>
        <w:t>Outline of Business Problem</w:t>
      </w:r>
    </w:p>
    <w:p>
      <w:r>
        <w:rPr>
          <w:b/>
        </w:rPr>
        <w:t xml:space="preserve">Material quality variability: </w:t>
      </w:r>
      <w:r>
        <w:t>Incoming materials may not consistently meet specifications, increasing rejection, rework, deviation, and product-stability risk.</w:t>
      </w:r>
    </w:p>
    <w:p>
      <w:r>
        <w:rPr>
          <w:b/>
        </w:rPr>
        <w:t xml:space="preserve">Logistics and fulfillment instability: </w:t>
      </w:r>
      <w:r>
        <w:t>Unpredictable lead times and missed delivery commitments undermine production planning and customer service.</w:t>
      </w:r>
    </w:p>
    <w:p>
      <w:r>
        <w:rPr>
          <w:b/>
        </w:rPr>
        <w:t xml:space="preserve">Traceability and documentation gaps: </w:t>
      </w:r>
      <w:r>
        <w:t>Missing or inconsistent certificates, lot identifiers, and manifests prevent reliable verification and increase audit exposure.</w:t>
      </w:r>
    </w:p>
    <w:p>
      <w:r>
        <w:rPr>
          <w:b/>
        </w:rPr>
        <w:t xml:space="preserve">Supplier quality-system weakness: </w:t>
      </w:r>
      <w:r>
        <w:t>Recurring nonconformances and weak GMP controls indicate gaps in process control and CAPA effectiveness.</w:t>
      </w:r>
    </w:p>
    <w:p>
      <w:r>
        <w:rPr>
          <w:b/>
        </w:rPr>
        <w:t xml:space="preserve">Operational and financial impact: </w:t>
      </w:r>
      <w:r>
        <w:t>Line interruption, expedited freight, additional testing, and higher buffers increase cost and reduce schedule reliability.</w:t>
      </w:r>
    </w:p>
    <w:p>
      <w:pPr>
        <w:pStyle w:val="Heading1"/>
      </w:pPr>
      <w: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Priority / Timing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Evidence / KPI</w:t>
            </w:r>
          </w:p>
        </w:tc>
        <w:tc>
          <w:tcPr>
            <w:tcW w:type="dxa" w:w="2016"/>
            <w:shd w:fill="17365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Immediate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Quarantine or hold at-risk lots and initiate expedited incoming testing before release.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Quality / Manufacturing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Lot disposition documented; testing completed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24 hours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Launch a cross-functional response team with one issue log, decision rights, and a daily checkpoint.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Supply Chain Lead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Issue log active; owners assigned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24–48 hours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Issue formal supplier escalations requesting root cause, CAPA, evidence, and committed recovery dates.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Procurement / Supplier Quality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Written CAPA and recovery plan received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1 week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Reconcile CoA/CoC, lot numbers, manifests, and chain-of-custody records; enforce “no documentation, no release.”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Quality / Compliance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Documentation completeness ≥ agreed threshold</w:t>
            </w:r>
          </w:p>
        </w:tc>
        <w:tc>
          <w:tcPr>
            <w:tcW w:type="dxa" w:w="2016"/>
          </w:tcPr>
          <w:p/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Within 1–3 weeks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Qualify alternate sources and update safety stock, reorder points, and production plans based on risk.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Procurement / Planning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Backup source and revised planning parameters approved</w:t>
            </w:r>
          </w:p>
        </w:tc>
        <w:tc>
          <w:tcPr>
            <w:tcW w:type="dxa" w:w="2016"/>
          </w:tcPr>
          <w:p/>
        </w:tc>
      </w:tr>
    </w:tbl>
    <w:p>
      <w:pPr>
        <w:pStyle w:val="Heading1"/>
      </w:pPr>
      <w:r>
        <w:t>Conclusion</w:t>
      </w:r>
    </w:p>
    <w:p>
      <w:r>
        <w:t>A dual-track approach is recommended: contain and document immediate quality/compliance risks, while remediating current suppliers and qualifying alternatives. Progress should be governed through a shared risk register, measurable KPIs, and regular leadership escalation.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Task 1 | Internal training simulation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