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Action Plan</w:t>
      </w:r>
    </w:p>
    <w:p>
      <w:pPr>
        <w:jc w:val="center"/>
      </w:pPr>
      <w:r>
        <w:rPr>
          <w:i/>
          <w:color w:val="666666"/>
          <w:sz w:val="20"/>
        </w:rPr>
        <w:t>Supply Chain Issues Review</w:t>
      </w:r>
    </w:p>
    <w:p/>
    <w:p>
      <w:pPr>
        <w:pStyle w:val="Heading1"/>
      </w:pPr>
      <w:r>
        <w:t>General Strategies</w:t>
      </w:r>
    </w:p>
    <w:p>
      <w:pPr>
        <w:pStyle w:val="ListBullet"/>
      </w:pPr>
      <w:r>
        <w:t>Protect compliance first through documented deviation, investigation, disposition, and CAPA controls.</w:t>
      </w:r>
    </w:p>
    <w:p>
      <w:pPr>
        <w:pStyle w:val="ListBullet"/>
      </w:pPr>
      <w:r>
        <w:t>Use dual-track mitigation: remediate existing suppliers while qualifying alternatives.</w:t>
      </w:r>
    </w:p>
    <w:p>
      <w:pPr>
        <w:pStyle w:val="ListBullet"/>
      </w:pPr>
      <w:r>
        <w:t>Enforce complete material genealogy before release.</w:t>
      </w:r>
    </w:p>
    <w:p>
      <w:pPr>
        <w:pStyle w:val="ListBullet"/>
      </w:pPr>
      <w:r>
        <w:t>Operate through a cross-functional task force with a shared dashboard and decision log.</w:t>
      </w:r>
    </w:p>
    <w:p>
      <w:pPr>
        <w:pStyle w:val="Heading1"/>
      </w:pPr>
      <w:r>
        <w:t>Immediate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Priority / Timing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Evidence / KPI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0–72 hours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Quarantine and test BIND567 lots; confirm composition and stability.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Quality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Testing and disposition record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Same day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Request EcoSupply root cause, CAPA, upstream controls, and recovery date.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Supplier Quality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Written response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Within 24 hours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Audit COMP042 traceability discrepancies and delay causes.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Procurement / Compliance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Gap log and evidence file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Within 48 hours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Require COMP043 cleanroom containment and delivery recovery plan.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Quality / Procurement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Containment evidence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Within 2 days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Establish weekly task force, risk register, and decision log.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Production Manager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Governance pack active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</w:tbl>
    <w:p>
      <w:pPr>
        <w:pStyle w:val="Heading1"/>
      </w:pPr>
      <w:r>
        <w:t>Short-Term Actions (1–3 Weeks)</w:t>
      </w:r>
    </w:p>
    <w:p>
      <w:pPr>
        <w:pStyle w:val="ListBullet"/>
      </w:pPr>
      <w:r>
        <w:t>Fast-track alternate-source screening and samples for BIND567 and COMP043.</w:t>
      </w:r>
    </w:p>
    <w:p>
      <w:pPr>
        <w:pStyle w:val="ListBullet"/>
      </w:pPr>
      <w:r>
        <w:t>Implement shipment acceptance rules requiring matching lot numbers, manifests, and certificates.</w:t>
      </w:r>
    </w:p>
    <w:p>
      <w:pPr>
        <w:pStyle w:val="ListBullet"/>
      </w:pPr>
      <w:r>
        <w:t>Complete the FDA-ready impact narrative and CAPA package for traceability gaps.</w:t>
      </w:r>
    </w:p>
    <w:p>
      <w:pPr>
        <w:pStyle w:val="ListBullet"/>
      </w:pPr>
      <w:r>
        <w:t>Revise production plan, safety stock, reorder points, and order cycles using lead-time variability.</w:t>
      </w:r>
    </w:p>
    <w:p>
      <w:pPr>
        <w:pStyle w:val="ListBullet"/>
      </w:pPr>
      <w:r>
        <w:t>Verify supplier remediation evidence through risk-based remote or onsite assessment.</w:t>
      </w:r>
    </w:p>
    <w:p>
      <w:pPr>
        <w:pStyle w:val="Heading1"/>
      </w:pPr>
      <w:r>
        <w:t>Ongoing Actions</w:t>
      </w:r>
    </w:p>
    <w:p>
      <w:pPr>
        <w:pStyle w:val="ListBullet"/>
      </w:pPr>
      <w:r>
        <w:t>Track OTIF/on-time delivery, defect rate, supplier reliability, lead-time variance, CAPA timeliness, and documentation completeness.</w:t>
      </w:r>
    </w:p>
    <w:p>
      <w:pPr>
        <w:pStyle w:val="ListBullet"/>
      </w:pPr>
      <w:r>
        <w:t>Review high-risk components weekly and medium-risk components at an agreed cadence.</w:t>
      </w:r>
    </w:p>
    <w:p>
      <w:pPr>
        <w:pStyle w:val="ListBullet"/>
      </w:pPr>
      <w:r>
        <w:t>Maintain current deviation, investigation, training, and change-control records.</w:t>
      </w:r>
    </w:p>
    <w:p>
      <w:pPr>
        <w:pStyle w:val="ListBullet"/>
      </w:pPr>
      <w:r>
        <w:t>Escalate missed commitments or threshold breaches to Quality and Operations leadership.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Task 2 | Internal training simulation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