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Meeting Invitation and Agenda</w:t>
      </w:r>
    </w:p>
    <w:p>
      <w:pPr>
        <w:jc w:val="center"/>
      </w:pPr>
      <w:r>
        <w:rPr>
          <w:i/>
          <w:color w:val="666666"/>
          <w:sz w:val="20"/>
        </w:rPr>
        <w:t>Supply Chain Issues Review</w:t>
      </w:r>
    </w:p>
    <w:p/>
    <w:p>
      <w:pPr>
        <w:pStyle w:val="Heading1"/>
      </w:pPr>
      <w:r>
        <w:t>Meeting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DEBF7"/>
            <w:vAlign w:val="center"/>
          </w:tcPr>
          <w:p>
            <w:r/>
            <w:r>
              <w:rPr>
                <w:b/>
                <w:color w:val="17365D"/>
                <w:sz w:val="18"/>
              </w:rPr>
              <w:t>Title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Supply Chain Issues Review</w:t>
            </w:r>
          </w:p>
        </w:tc>
      </w:tr>
      <w:tr>
        <w:tc>
          <w:tcPr>
            <w:tcW w:type="dxa" w:w="5040"/>
            <w:shd w:fill="DDEBF7"/>
            <w:vAlign w:val="center"/>
          </w:tcPr>
          <w:p>
            <w:r/>
            <w:r>
              <w:rPr>
                <w:b/>
                <w:color w:val="17365D"/>
                <w:sz w:val="18"/>
              </w:rPr>
              <w:t>Purpose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Align on containment, compliance, supplier recovery, and continuity actions.</w:t>
            </w:r>
          </w:p>
        </w:tc>
      </w:tr>
      <w:tr>
        <w:tc>
          <w:tcPr>
            <w:tcW w:type="dxa" w:w="5040"/>
            <w:shd w:fill="DDEBF7"/>
            <w:vAlign w:val="center"/>
          </w:tcPr>
          <w:p>
            <w:r/>
            <w:r>
              <w:rPr>
                <w:b/>
                <w:color w:val="17365D"/>
                <w:sz w:val="18"/>
              </w:rPr>
              <w:t>Duration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60 minutes</w:t>
            </w:r>
          </w:p>
        </w:tc>
      </w:tr>
      <w:tr>
        <w:tc>
          <w:tcPr>
            <w:tcW w:type="dxa" w:w="5040"/>
            <w:shd w:fill="DDEBF7"/>
            <w:vAlign w:val="center"/>
          </w:tcPr>
          <w:p>
            <w:r/>
            <w:r>
              <w:rPr>
                <w:b/>
                <w:color w:val="17365D"/>
                <w:sz w:val="18"/>
              </w:rPr>
              <w:t>Location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Microsoft Teams</w:t>
            </w:r>
          </w:p>
        </w:tc>
      </w:tr>
      <w:tr>
        <w:tc>
          <w:tcPr>
            <w:tcW w:type="dxa" w:w="5040"/>
            <w:shd w:fill="DDEBF7"/>
            <w:vAlign w:val="center"/>
          </w:tcPr>
          <w:p>
            <w:r/>
            <w:r>
              <w:rPr>
                <w:b/>
                <w:color w:val="17365D"/>
                <w:sz w:val="18"/>
              </w:rPr>
              <w:t>Chair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Production Manager</w:t>
            </w:r>
          </w:p>
        </w:tc>
      </w:tr>
      <w:tr>
        <w:tc>
          <w:tcPr>
            <w:tcW w:type="dxa" w:w="5040"/>
            <w:shd w:fill="DDEBF7"/>
            <w:vAlign w:val="center"/>
          </w:tcPr>
          <w:p>
            <w:r/>
            <w:r>
              <w:rPr>
                <w:b/>
                <w:color w:val="17365D"/>
                <w:sz w:val="18"/>
              </w:rPr>
              <w:t>Invitees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Supply Chain, Procurement, Manufacturing, Quality, Regulatory/Compliance, Supplier Quality, Planning</w:t>
            </w:r>
          </w:p>
        </w:tc>
      </w:tr>
    </w:tbl>
    <w:p>
      <w:pPr>
        <w:pStyle w:val="Heading1"/>
      </w:pPr>
      <w:r>
        <w:t>Agenda</w:t>
      </w:r>
    </w:p>
    <w:p>
      <w:r>
        <w:t>1. Situation overview and business impact (10 min)</w:t>
      </w:r>
    </w:p>
    <w:p>
      <w:r>
        <w:t>2. BIND567 quality and containment decisions (10 min)</w:t>
      </w:r>
    </w:p>
    <w:p>
      <w:r>
        <w:t>3. COMP042 traceability and logistics recovery (10 min)</w:t>
      </w:r>
    </w:p>
    <w:p>
      <w:r>
        <w:t>4. COMP043 GMP remediation and parallel sourcing (10 min)</w:t>
      </w:r>
    </w:p>
    <w:p>
      <w:r>
        <w:t>5. Production and compliance impact assessment (10 min)</w:t>
      </w:r>
    </w:p>
    <w:p>
      <w:r>
        <w:t>6. Owners, milestones, escalation triggers, and next check-in (10 min)</w:t>
      </w:r>
    </w:p>
    <w:p>
      <w:pPr>
        <w:pStyle w:val="Heading1"/>
      </w:pPr>
      <w:r>
        <w:t>Expected Decisions</w:t>
      </w:r>
    </w:p>
    <w:p>
      <w:pPr>
        <w:pStyle w:val="ListBullet"/>
      </w:pPr>
      <w:r>
        <w:t>Approve material holds and expanded incoming testing.</w:t>
      </w:r>
    </w:p>
    <w:p>
      <w:pPr>
        <w:pStyle w:val="ListBullet"/>
      </w:pPr>
      <w:r>
        <w:t>Confirm supplier escalation and audit path.</w:t>
      </w:r>
    </w:p>
    <w:p>
      <w:pPr>
        <w:pStyle w:val="ListBullet"/>
      </w:pPr>
      <w:r>
        <w:t>Authorize alternate-source qualification and planning changes.</w:t>
      </w:r>
    </w:p>
    <w:p>
      <w:pPr>
        <w:pStyle w:val="ListBullet"/>
      </w:pPr>
      <w:r>
        <w:t>Approve governance cadence, owners, KPIs, and regulatory documentation approach.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Task 2 | Internal training simulation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7A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