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Supply Chain Issue Analysis Report</w:t>
      </w:r>
    </w:p>
    <w:p>
      <w:pPr>
        <w:jc w:val="center"/>
      </w:pPr>
      <w:r>
        <w:rPr>
          <w:i/>
          <w:color w:val="666666"/>
          <w:sz w:val="20"/>
        </w:rPr>
        <w:t>Task 3 risk assessment</w:t>
      </w:r>
    </w:p>
    <w:p/>
    <w:p>
      <w:pPr>
        <w:pStyle w:val="Heading1"/>
      </w:pPr>
      <w:r>
        <w:t>Executive Summary</w:t>
      </w:r>
    </w:p>
    <w:p>
      <w:r>
        <w:t>The dataset shows an overall average delivery timeline of 13.56 days and an overall average on-time delivery rate of 91.15%. Medium-risk items have the longest average delivery timeline at 15.13 days. Among the delayed components requested for review, COAT890 has the lowest average on-time delivery rate at 84.20%, followed by CARB123 at 90.25% and BIND567 at 99.00%.</w:t>
      </w:r>
    </w:p>
    <w:p>
      <w:pPr>
        <w:pStyle w:val="Heading1"/>
      </w:pPr>
      <w:r>
        <w:t>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supplier(s)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Average on-time delivery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 interpretation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BIND567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EcoSupply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99.00%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Quality/compliance containment remains urgent despite high delivery rate.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CARB123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RawMatPlus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90.25%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Mixed risk levels and delivery variability require planning and contract review.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COAT890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GlobalChem / RawMatPlus / NextGen Pharma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84.20%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Lowest delivery performance; prioritize continuity and alternate-source actions.</w:t>
            </w:r>
          </w:p>
        </w:tc>
      </w:tr>
    </w:tbl>
    <w:p>
      <w:pPr>
        <w:pStyle w:val="Heading1"/>
      </w:pPr>
      <w:r>
        <w:t>Compliance Impact</w:t>
      </w:r>
    </w:p>
    <w:p>
      <w:pPr>
        <w:pStyle w:val="ListBullet"/>
      </w:pPr>
      <w:r>
        <w:t>Late or incomplete materials can force schedule changes and increase deviation risk.</w:t>
      </w:r>
    </w:p>
    <w:p>
      <w:pPr>
        <w:pStyle w:val="ListBullet"/>
      </w:pPr>
      <w:r>
        <w:t>Traceability gaps can prevent verification of material origin, handling, and release documentation.</w:t>
      </w:r>
    </w:p>
    <w:p>
      <w:pPr>
        <w:pStyle w:val="ListBullet"/>
      </w:pPr>
      <w:r>
        <w:t>Supplier quality- and GMP-control weaknesses can increase investigation, CAPA, audit, and change-control burden.</w:t>
      </w:r>
    </w:p>
    <w:p>
      <w:pPr>
        <w:pStyle w:val="ListBullet"/>
      </w:pPr>
      <w:r>
        <w:t>Planning changes, alternate sourcing, and inventory adjustments require documented risk assessment and governance.</w:t>
      </w:r>
    </w:p>
    <w:p>
      <w:pPr>
        <w:pStyle w:val="Heading1"/>
      </w:pPr>
      <w:r>
        <w:t>Root Cause Analysis</w:t>
      </w:r>
    </w:p>
    <w:p>
      <w:r>
        <w:rPr>
          <w:b/>
        </w:rPr>
        <w:t xml:space="preserve">Planning and forecasting misalignment: </w:t>
      </w:r>
      <w:r>
        <w:t>Lead-time variance and forecast inaccuracies reduce schedule stability.</w:t>
      </w:r>
    </w:p>
    <w:p>
      <w:r>
        <w:rPr>
          <w:b/>
        </w:rPr>
        <w:t xml:space="preserve">Insufficient buffers and contingencies: </w:t>
      </w:r>
      <w:r>
        <w:t>Dependence on supplier consistency increases vulnerability when recovery options are not prequalified.</w:t>
      </w:r>
    </w:p>
    <w:p>
      <w:r>
        <w:rPr>
          <w:b/>
        </w:rPr>
        <w:t xml:space="preserve">Supplier execution variability: </w:t>
      </w:r>
      <w:r>
        <w:t>Recurring delays, defects, and documentation errors indicate unstable processes.</w:t>
      </w:r>
    </w:p>
    <w:p>
      <w:r>
        <w:rPr>
          <w:b/>
        </w:rPr>
        <w:t xml:space="preserve">Communication and governance gaps: </w:t>
      </w:r>
      <w:r>
        <w:t>Late escalation and unclear commitments reduce response time and decision quality.</w:t>
      </w:r>
    </w:p>
    <w:p>
      <w:pPr>
        <w:pStyle w:val="Heading1"/>
      </w:pPr>
      <w:r>
        <w:t>Mitigation Strategies</w:t>
      </w:r>
    </w:p>
    <w:p>
      <w:pPr>
        <w:pStyle w:val="Heading2"/>
      </w:pPr>
      <w:r>
        <w:t>General</w:t>
      </w:r>
    </w:p>
    <w:p>
      <w:pPr>
        <w:pStyle w:val="ListBullet"/>
      </w:pPr>
      <w:r>
        <w:t>Segment components by criticality, substitutability, and performance indicators.</w:t>
      </w:r>
    </w:p>
    <w:p>
      <w:pPr>
        <w:pStyle w:val="ListBullet"/>
      </w:pPr>
      <w:r>
        <w:t>Establish supplier scorecards and escalation thresholds.</w:t>
      </w:r>
    </w:p>
    <w:p>
      <w:pPr>
        <w:pStyle w:val="ListBullet"/>
      </w:pPr>
      <w:r>
        <w:t>Incorporate lead-time variance into safety-stock and reorder parameters.</w:t>
      </w:r>
    </w:p>
    <w:p>
      <w:pPr>
        <w:pStyle w:val="ListBullet"/>
      </w:pPr>
      <w:r>
        <w:t>Create early-warning alerts for commit-date and need-by-date risk.</w:t>
      </w:r>
    </w:p>
    <w:p>
      <w:pPr>
        <w:pStyle w:val="ListBullet"/>
      </w:pPr>
      <w:r>
        <w:t>Use a documented cost-risk framework for expedite decisions.</w:t>
      </w:r>
    </w:p>
    <w:p>
      <w:pPr>
        <w:pStyle w:val="Heading2"/>
      </w:pPr>
      <w:r>
        <w:t>Component-Specific</w:t>
      </w:r>
    </w:p>
    <w:p>
      <w:pPr>
        <w:pStyle w:val="ListBullet"/>
      </w:pPr>
      <w:r>
        <w:t>BIND567: quarantine/validate lots, negotiate expedited terms, strengthen upstream controls, and increase calibrated buffer.</w:t>
      </w:r>
    </w:p>
    <w:p>
      <w:pPr>
        <w:pStyle w:val="ListBullet"/>
      </w:pPr>
      <w:r>
        <w:t>CARB123: review contract commitments, trend performance by risk level, and align order cycles with observed variability.</w:t>
      </w:r>
    </w:p>
    <w:p>
      <w:pPr>
        <w:pStyle w:val="ListBullet"/>
      </w:pPr>
      <w:r>
        <w:t>COAT890: prioritize alternate-source qualification, increase delivery oversight, and set supplier-specific recovery commitments.</w:t>
      </w:r>
    </w:p>
    <w:p>
      <w:pPr>
        <w:pStyle w:val="ListBullet"/>
      </w:pPr>
      <w:r>
        <w:t>COMP042: improve demand planning with PrimeLogistics and adjust ordering assumptions.</w:t>
      </w:r>
    </w:p>
    <w:p>
      <w:pPr>
        <w:pStyle w:val="ListBullet"/>
      </w:pPr>
      <w:r>
        <w:t>COMP043: improve forecast cadence with NextGen Pharma and implement dynamic replenishment.</w:t>
      </w:r>
    </w:p>
    <w:p>
      <w:pPr>
        <w:pStyle w:val="Heading1"/>
      </w:pPr>
      <w:r>
        <w:t>Supplier Performance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Supplier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Lead time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Defect %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Reliability %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On-time %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Volume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EcoSupply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15.00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2.50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93.20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87.90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20,506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GlobalChem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16.44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92.56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90.89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17,068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NextGen Pharma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10.73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91.82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91.55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19,534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PrimeLogistics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11.00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2.89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91.43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88.00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11,816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RawMatPlus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14.23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2.60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92.85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90.62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25,544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Task 3 | Internal training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