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6E6C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5-19-26</w:t>
      </w:r>
    </w:p>
    <w:p w14:paraId="1756073E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31B598A" w14:textId="41B73889" w:rsidR="00973D74" w:rsidRDefault="001776EF" w:rsidP="00935A66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Poly-A default drop — ignore the +1 diagonal </w:t>
      </w:r>
    </w:p>
    <w:p w14:paraId="11F12F6C" w14:textId="5ED8E09B" w:rsidR="00973D74" w:rsidRDefault="00973D74" w:rsidP="00973D74">
      <w:pPr>
        <w:numPr>
          <w:ilvl w:val="1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This might be a bad idea for cases like “ATAATA”</w:t>
      </w:r>
      <w:r w:rsidR="00D12387">
        <w:rPr>
          <w:rFonts w:ascii="Helvetica" w:hAnsi="Helvetica" w:cs="Helvetica"/>
          <w:kern w:val="0"/>
        </w:rPr>
        <w:t>?</w:t>
      </w:r>
    </w:p>
    <w:p w14:paraId="21156A70" w14:textId="2BCBC345" w:rsidR="000D0E24" w:rsidRDefault="000D0E24" w:rsidP="000D0E2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A809858" w14:textId="77777777" w:rsidR="000D0E24" w:rsidRDefault="000D0E24" w:rsidP="000D0E2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47D5E07" w14:textId="1E6019C5" w:rsidR="000D0E24" w:rsidRPr="00836E72" w:rsidRDefault="000D0E24" w:rsidP="000D0E2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836E72">
        <w:rPr>
          <w:rFonts w:ascii="Helvetica" w:hAnsi="Helvetica" w:cs="Helvetica"/>
          <w:b/>
          <w:bCs/>
          <w:color w:val="196B24" w:themeColor="accent3"/>
          <w:kern w:val="0"/>
        </w:rPr>
        <w:t>Fix MapBack for IR patterns</w:t>
      </w:r>
      <w:r w:rsidR="00836E72">
        <w:rPr>
          <w:rFonts w:ascii="Helvetica" w:hAnsi="Helvetica" w:cs="Helvetica"/>
          <w:b/>
          <w:bCs/>
          <w:color w:val="196B24" w:themeColor="accent3"/>
          <w:kern w:val="0"/>
        </w:rPr>
        <w:t xml:space="preserve"> (quality of life fix)</w:t>
      </w:r>
    </w:p>
    <w:p w14:paraId="7B6A9943" w14:textId="77777777" w:rsidR="00973D74" w:rsidRDefault="00973D74" w:rsidP="00973D7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</w:rPr>
      </w:pPr>
    </w:p>
    <w:p w14:paraId="744EDA60" w14:textId="77777777" w:rsidR="00973D74" w:rsidRPr="00973D74" w:rsidRDefault="00973D74" w:rsidP="00973D7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</w:rPr>
      </w:pPr>
    </w:p>
    <w:p w14:paraId="02493514" w14:textId="3AAFC60A" w:rsidR="001776EF" w:rsidRPr="00EB78E9" w:rsidRDefault="001776EF" w:rsidP="00935A66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EB78E9">
        <w:rPr>
          <w:rFonts w:ascii="Helvetica" w:hAnsi="Helvetica" w:cs="Helvetica"/>
          <w:kern w:val="0"/>
        </w:rPr>
        <w:t>Your cutoff is skewed down right now:</w:t>
      </w:r>
    </w:p>
    <w:p w14:paraId="4D85E56E" w14:textId="77777777" w:rsidR="001776EF" w:rsidRPr="00935A66" w:rsidRDefault="001776EF" w:rsidP="001776EF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935A66">
        <w:rPr>
          <w:rFonts w:ascii="Helvetica" w:hAnsi="Helvetica" w:cs="Helvetica"/>
          <w:b/>
          <w:bCs/>
          <w:color w:val="196B24" w:themeColor="accent3"/>
          <w:kern w:val="0"/>
        </w:rPr>
        <w:t>Take out the 2.00 diagonal from the distribution</w:t>
      </w:r>
    </w:p>
    <w:p w14:paraId="24BF8A67" w14:textId="2F3B4E36" w:rsidR="001776EF" w:rsidRPr="00935A66" w:rsidRDefault="001776EF" w:rsidP="001776EF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935A66">
        <w:rPr>
          <w:rFonts w:ascii="Helvetica" w:hAnsi="Helvetica" w:cs="Helvetica"/>
          <w:b/>
          <w:bCs/>
          <w:color w:val="196B24" w:themeColor="accent3"/>
          <w:kern w:val="0"/>
        </w:rPr>
        <w:t xml:space="preserve">Just the lower </w:t>
      </w:r>
      <w:r w:rsidR="005C4BA9">
        <w:rPr>
          <w:rFonts w:ascii="Helvetica" w:hAnsi="Helvetica" w:cs="Helvetica"/>
          <w:b/>
          <w:bCs/>
          <w:color w:val="196B24" w:themeColor="accent3"/>
          <w:kern w:val="0"/>
        </w:rPr>
        <w:t>triangle</w:t>
      </w:r>
    </w:p>
    <w:p w14:paraId="632D48F0" w14:textId="77777777" w:rsidR="001776EF" w:rsidRDefault="001776EF" w:rsidP="001776EF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101828">
        <w:rPr>
          <w:rFonts w:ascii="Helvetica" w:hAnsi="Helvetica" w:cs="Helvetica"/>
          <w:b/>
          <w:bCs/>
          <w:color w:val="196B24" w:themeColor="accent3"/>
          <w:kern w:val="0"/>
        </w:rPr>
        <w:t xml:space="preserve">zero p-values = + 1 /(n +  2) in the denominator </w:t>
      </w:r>
    </w:p>
    <w:p w14:paraId="7751897A" w14:textId="7BC4A0EE" w:rsidR="00874C45" w:rsidRPr="00101828" w:rsidRDefault="00874C45" w:rsidP="00874C45">
      <w:pPr>
        <w:numPr>
          <w:ilvl w:val="1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874C45">
        <w:rPr>
          <w:rFonts w:ascii="Helvetica" w:hAnsi="Helvetica" w:cs="Helvetica"/>
          <w:b/>
          <w:bCs/>
          <w:color w:val="196B24" w:themeColor="accent3"/>
          <w:kern w:val="0"/>
        </w:rPr>
        <w:t>These are answering different questions. The n+1 correction (Davison &amp; Hinkley / Phipson) gives a valid frequentist p-value — it's the probability that a random permutation beats your score, with the observed statistic counted as part of its own reference set. The n+2 correction gives the best point estimate of what the true p-value actually is, given what you observed and a flat prior.</w:t>
      </w:r>
    </w:p>
    <w:p w14:paraId="5B540FE1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2F20BC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C0F1E95" w14:textId="3D1DA804" w:rsidR="001776EF" w:rsidRPr="00836E72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</w:rPr>
      </w:pPr>
      <w:r w:rsidRPr="00DC71A3">
        <w:rPr>
          <w:rFonts w:ascii="Helvetica" w:hAnsi="Helvetica" w:cs="Helvetica"/>
          <w:b/>
          <w:bCs/>
          <w:kern w:val="0"/>
        </w:rPr>
        <w:t>Evaluate MEME OUT examples</w:t>
      </w:r>
    </w:p>
    <w:p w14:paraId="2B1505F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0925AF3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9B7F909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Data Integrity</w:t>
      </w:r>
    </w:p>
    <w:p w14:paraId="51D9C987" w14:textId="77777777" w:rsidR="001776EF" w:rsidRPr="00935A66" w:rsidRDefault="001776EF" w:rsidP="001776EF">
      <w:pPr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935A66">
        <w:rPr>
          <w:rFonts w:ascii="Helvetica" w:hAnsi="Helvetica" w:cs="Helvetica"/>
          <w:b/>
          <w:bCs/>
          <w:color w:val="196B24" w:themeColor="accent3"/>
          <w:kern w:val="0"/>
        </w:rPr>
        <w:t>Fix the inconsistent lengths — grab aligned from CollecTF</w:t>
      </w:r>
    </w:p>
    <w:p w14:paraId="052FBB1A" w14:textId="5BBA5810" w:rsidR="005C4BA9" w:rsidRPr="00706EE2" w:rsidRDefault="001776EF" w:rsidP="005C4BA9">
      <w:pPr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196B24" w:themeColor="accent3"/>
          <w:kern w:val="0"/>
        </w:rPr>
      </w:pPr>
      <w:r w:rsidRPr="00706EE2">
        <w:rPr>
          <w:rFonts w:ascii="Helvetica" w:hAnsi="Helvetica" w:cs="Helvetica"/>
          <w:color w:val="196B24" w:themeColor="accent3"/>
          <w:kern w:val="0"/>
        </w:rPr>
        <w:t>Decrementing the percentile threshold  — the user should do that, leave it alone and let it output just none.</w:t>
      </w:r>
      <w:r w:rsidR="005C4BA9" w:rsidRPr="00706EE2">
        <w:rPr>
          <w:rFonts w:ascii="Helvetica" w:hAnsi="Helvetica" w:cs="Helvetica"/>
          <w:color w:val="196B24" w:themeColor="accent3"/>
          <w:kern w:val="0"/>
        </w:rPr>
        <w:t xml:space="preserve"> </w:t>
      </w:r>
      <w:r w:rsidR="005C4BA9" w:rsidRPr="00706EE2">
        <w:rPr>
          <w:rFonts w:ascii="Helvetica" w:hAnsi="Helvetica" w:cs="Helvetica"/>
          <w:color w:val="196B24" w:themeColor="accent3"/>
          <w:kern w:val="0"/>
        </w:rPr>
        <w:sym w:font="Wingdings" w:char="F0E0"/>
      </w:r>
      <w:r w:rsidR="005C4BA9" w:rsidRPr="00706EE2">
        <w:rPr>
          <w:rFonts w:ascii="Helvetica" w:hAnsi="Helvetica" w:cs="Helvetica"/>
          <w:color w:val="196B24" w:themeColor="accent3"/>
          <w:kern w:val="0"/>
        </w:rPr>
        <w:t xml:space="preserve"> added togglable automatic override, default is set to True.</w:t>
      </w:r>
    </w:p>
    <w:p w14:paraId="6266B218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8CB1E9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3610821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C81B73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75DF7DF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User Output</w:t>
      </w:r>
    </w:p>
    <w:p w14:paraId="0AFADF7C" w14:textId="20FFE99B" w:rsidR="001776EF" w:rsidRDefault="00A73C89" w:rsidP="001776EF">
      <w:pPr>
        <w:numPr>
          <w:ilvl w:val="0"/>
          <w:numId w:val="3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report</w:t>
      </w:r>
      <w:r w:rsidR="001776EF">
        <w:rPr>
          <w:rFonts w:ascii="Helvetica" w:hAnsi="Helvetica" w:cs="Helvetica"/>
          <w:kern w:val="0"/>
        </w:rPr>
        <w:t xml:space="preserve"> the interstitial space between the two candidates and length </w:t>
      </w:r>
    </w:p>
    <w:p w14:paraId="555C57BC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29EB04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CDD3344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Summarizing results </w:t>
      </w:r>
    </w:p>
    <w:p w14:paraId="3D047645" w14:textId="77777777" w:rsidR="001776EF" w:rsidRDefault="001776EF" w:rsidP="001776EF">
      <w:pPr>
        <w:numPr>
          <w:ilvl w:val="0"/>
          <w:numId w:val="4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Show the distribution of the -log(pval)  </w:t>
      </w:r>
    </w:p>
    <w:p w14:paraId="6F3A023D" w14:textId="77777777" w:rsidR="001776EF" w:rsidRDefault="001776EF" w:rsidP="001776EF">
      <w:pPr>
        <w:numPr>
          <w:ilvl w:val="0"/>
          <w:numId w:val="4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Frequency distribution showing that we have many observations with high p-values for the direct repeat patterns, and then many for the low- p-values for the invert repeat patterns</w:t>
      </w:r>
    </w:p>
    <w:p w14:paraId="6207A195" w14:textId="77777777" w:rsidR="001776EF" w:rsidRPr="007312B1" w:rsidRDefault="001776EF" w:rsidP="007312B1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</w:rPr>
      </w:pPr>
    </w:p>
    <w:p w14:paraId="59CEB3BC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9D20EA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A8846CD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Evaluation</w:t>
      </w:r>
    </w:p>
    <w:p w14:paraId="1910FA2C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ROC of either the DR or the IR </w:t>
      </w:r>
    </w:p>
    <w:p w14:paraId="3B5A1957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or min(DRpval, IRpval)</w:t>
      </w:r>
    </w:p>
    <w:p w14:paraId="0A8AF0A8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PR curve</w:t>
      </w:r>
    </w:p>
    <w:p w14:paraId="0F3F0C8A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AUC </w:t>
      </w:r>
    </w:p>
    <w:p w14:paraId="00D0C3C2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Classification problem — output DR, IR </w:t>
      </w:r>
    </w:p>
    <w:p w14:paraId="63F290BD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  <w:sz w:val="22"/>
          <w:szCs w:val="22"/>
        </w:rPr>
      </w:pPr>
      <w:r>
        <w:rPr>
          <w:rFonts w:ascii="Helvetica" w:hAnsi="Helvetica" w:cs="Helvetica"/>
          <w:kern w:val="0"/>
          <w:sz w:val="22"/>
          <w:szCs w:val="22"/>
        </w:rPr>
        <w:t xml:space="preserve">Q8YMM5 — both a DR/IR — multi classification </w:t>
      </w:r>
    </w:p>
    <w:p w14:paraId="6BA78364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4688BBE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09C5A79B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Lit Review</w:t>
      </w:r>
    </w:p>
    <w:p w14:paraId="7EBBA5E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FD8320E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hyperlink r:id="rId5" w:history="1">
        <w:r>
          <w:rPr>
            <w:rFonts w:ascii="Helvetica" w:hAnsi="Helvetica" w:cs="Helvetica"/>
            <w:kern w:val="0"/>
          </w:rPr>
          <w:t>https://link.springer.com/article/10.1186/gb-2007-8-2-r24</w:t>
        </w:r>
      </w:hyperlink>
      <w:r>
        <w:rPr>
          <w:rFonts w:ascii="Helvetica" w:hAnsi="Helvetica" w:cs="Helvetica"/>
          <w:kern w:val="0"/>
        </w:rPr>
        <w:t xml:space="preserve"> —</w:t>
      </w:r>
    </w:p>
    <w:p w14:paraId="24054AA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A0CF2F4" w14:textId="77777777" w:rsidR="001776EF" w:rsidRPr="005C4BA9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s-ES_tradnl"/>
        </w:rPr>
      </w:pPr>
      <w:r>
        <w:rPr>
          <w:rFonts w:ascii="Helvetica" w:hAnsi="Helvetica" w:cs="Helvetica"/>
          <w:kern w:val="0"/>
        </w:rPr>
        <w:t xml:space="preserve">* MEME </w:t>
      </w:r>
    </w:p>
    <w:p w14:paraId="5DD16D21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RNASeq - ChIPSeq</w:t>
      </w:r>
    </w:p>
    <w:p w14:paraId="465479CF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1D1C67A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hyperlink r:id="rId6" w:history="1">
        <w:r>
          <w:rPr>
            <w:rFonts w:ascii="Helvetica" w:hAnsi="Helvetica" w:cs="Helvetica"/>
            <w:kern w:val="0"/>
          </w:rPr>
          <w:t>https://microbenotes.com/chip-sequencing/</w:t>
        </w:r>
      </w:hyperlink>
    </w:p>
    <w:p w14:paraId="57B80CB6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ACC8C84" w14:textId="77777777" w:rsidR="001776EF" w:rsidRDefault="001776EF" w:rsidP="001776EF">
      <w:pPr>
        <w:numPr>
          <w:ilvl w:val="0"/>
          <w:numId w:val="6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MEME </w:t>
      </w:r>
    </w:p>
    <w:p w14:paraId="24377B19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F7A2B1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our base assumption of a dimeric (or tetrameric) binding conformation and use that to evaluate the candidate patterns </w:t>
      </w:r>
    </w:p>
    <w:p w14:paraId="0CD34C33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11F0158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we have some downstream outputs from motif discovery, how can we automate the evaluation of whether the motif is an actual binding site or not ? </w:t>
      </w:r>
    </w:p>
    <w:p w14:paraId="3D834504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FFB7F3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E4B8BB7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other ways to evaluate a motif candidate — coverage in the genome </w:t>
      </w:r>
    </w:p>
    <w:p w14:paraId="533BAA3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the problem is that many things are conserved and statistically significant, but the conservation does not necessarily denote an actual binding site </w:t>
      </w:r>
    </w:p>
    <w:p w14:paraId="32FD1B47" w14:textId="77777777" w:rsidR="001776EF" w:rsidRDefault="001776EF" w:rsidP="001776EF">
      <w:pPr>
        <w:numPr>
          <w:ilvl w:val="0"/>
          <w:numId w:val="7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</w:p>
    <w:p w14:paraId="330C47D6" w14:textId="77777777" w:rsidR="001776EF" w:rsidRDefault="001776EF" w:rsidP="001776EF">
      <w:pPr>
        <w:numPr>
          <w:ilvl w:val="0"/>
          <w:numId w:val="7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for our case of the bacterial transcription factors we use the base heuristic that the IR/DR  </w:t>
      </w:r>
    </w:p>
    <w:p w14:paraId="792CBCCC" w14:textId="77777777" w:rsidR="001776EF" w:rsidRDefault="001776EF" w:rsidP="001776EF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kern w:val="0"/>
        </w:rPr>
      </w:pPr>
    </w:p>
    <w:p w14:paraId="4453D911" w14:textId="77777777" w:rsidR="001776EF" w:rsidRDefault="001776EF" w:rsidP="001776EF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include the CollecTF — </w:t>
      </w:r>
      <w:hyperlink r:id="rId7" w:history="1">
        <w:r>
          <w:rPr>
            <w:rFonts w:ascii="Helvetica" w:hAnsi="Helvetica" w:cs="Helvetica"/>
            <w:kern w:val="0"/>
          </w:rPr>
          <w:t>https://github.com/ErillLab/collectf/blob/45f7621f408acabc739c21617294e2fc207875b2/src/core/motif_structure.py#L26</w:t>
        </w:r>
      </w:hyperlink>
    </w:p>
    <w:p w14:paraId="5FBB3DDC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D411536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F8C8C7D" w14:textId="6CDC7064" w:rsidR="005601A0" w:rsidRDefault="005D1ED1">
      <w:hyperlink r:id="rId8" w:history="1">
        <w:r w:rsidRPr="0088728F">
          <w:rPr>
            <w:rStyle w:val="Hyperlink"/>
          </w:rPr>
          <w:t>https://link.springer.com/article/10.1186/gb-2007-8-2-r24</w:t>
        </w:r>
      </w:hyperlink>
    </w:p>
    <w:p w14:paraId="36681701" w14:textId="7CBC863D" w:rsidR="005D1ED1" w:rsidRDefault="000D0E24">
      <w:hyperlink r:id="rId9" w:history="1">
        <w:r w:rsidRPr="0088728F">
          <w:rPr>
            <w:rStyle w:val="Hyperlink"/>
          </w:rPr>
          <w:t>https://journals.plos.org/ploscompbiol/article?id=10.1371/journal.pcbi.1000010</w:t>
        </w:r>
      </w:hyperlink>
    </w:p>
    <w:p w14:paraId="63EF972F" w14:textId="7F903AFC" w:rsidR="000D0E24" w:rsidRDefault="000D0E24">
      <w:hyperlink r:id="rId10" w:history="1">
        <w:r w:rsidRPr="0088728F">
          <w:rPr>
            <w:rStyle w:val="Hyperlink"/>
          </w:rPr>
          <w:t>https://academic.oup.com/database/article/doi/10.1093/database/baw055/2630369?login=false#47326445</w:t>
        </w:r>
      </w:hyperlink>
    </w:p>
    <w:p w14:paraId="40BA1686" w14:textId="77777777" w:rsidR="000D0E24" w:rsidRDefault="000D0E24"/>
    <w:sectPr w:rsidR="000D0E24" w:rsidSect="001776E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4E7EB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2DF81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D4347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78579578">
    <w:abstractNumId w:val="0"/>
  </w:num>
  <w:num w:numId="2" w16cid:durableId="1965114007">
    <w:abstractNumId w:val="1"/>
  </w:num>
  <w:num w:numId="3" w16cid:durableId="1879463176">
    <w:abstractNumId w:val="2"/>
  </w:num>
  <w:num w:numId="4" w16cid:durableId="1362975277">
    <w:abstractNumId w:val="3"/>
  </w:num>
  <w:num w:numId="5" w16cid:durableId="969827115">
    <w:abstractNumId w:val="4"/>
  </w:num>
  <w:num w:numId="6" w16cid:durableId="824979151">
    <w:abstractNumId w:val="5"/>
  </w:num>
  <w:num w:numId="7" w16cid:durableId="1842742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EF"/>
    <w:rsid w:val="000D0E24"/>
    <w:rsid w:val="000E7E23"/>
    <w:rsid w:val="00101828"/>
    <w:rsid w:val="001776EF"/>
    <w:rsid w:val="0047286E"/>
    <w:rsid w:val="005601A0"/>
    <w:rsid w:val="005C4BA9"/>
    <w:rsid w:val="005D1ED1"/>
    <w:rsid w:val="00706EE2"/>
    <w:rsid w:val="0071128C"/>
    <w:rsid w:val="007312B1"/>
    <w:rsid w:val="00836E72"/>
    <w:rsid w:val="00845993"/>
    <w:rsid w:val="00874C45"/>
    <w:rsid w:val="00935A66"/>
    <w:rsid w:val="00973D74"/>
    <w:rsid w:val="009A759C"/>
    <w:rsid w:val="00A73C89"/>
    <w:rsid w:val="00D12387"/>
    <w:rsid w:val="00DC71A3"/>
    <w:rsid w:val="00EB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9DDFA"/>
  <w15:chartTrackingRefBased/>
  <w15:docId w15:val="{E18D29A5-4CB1-8C4E-B19D-46AE1A39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186/gb-2007-8-2-r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rillLab/collectf/blob/45f7621f408acabc739c21617294e2fc207875b2/src/core/motif_structure.py#L2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benotes.com/chip-sequencin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.springer.com/article/10.1186/gb-2007-8-2-r24" TargetMode="External"/><Relationship Id="rId10" Type="http://schemas.openxmlformats.org/officeDocument/2006/relationships/hyperlink" Target="https://academic.oup.com/database/article/doi/10.1093/database/baw055/2630369?login=false#473264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plos.org/ploscompbiol/article?id=10.1371/journal.pcbi.1000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Shin</dc:creator>
  <cp:keywords/>
  <dc:description/>
  <cp:lastModifiedBy>Enoch Shin</cp:lastModifiedBy>
  <cp:revision>12</cp:revision>
  <dcterms:created xsi:type="dcterms:W3CDTF">2026-05-22T15:22:00Z</dcterms:created>
  <dcterms:modified xsi:type="dcterms:W3CDTF">2026-05-25T22:04:00Z</dcterms:modified>
</cp:coreProperties>
</file>