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16E6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5-19-26</w:t>
      </w:r>
    </w:p>
    <w:p w14:paraId="1756073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1B598A" w14:textId="41B73889" w:rsidR="00973D74" w:rsidRDefault="001776EF" w:rsidP="00935A66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Poly-A default drop — ignore the +1 diagonal </w:t>
      </w:r>
    </w:p>
    <w:p w14:paraId="11F12F6C" w14:textId="5ED8E09B" w:rsidR="00973D74" w:rsidRDefault="00973D74" w:rsidP="00973D74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This might be a bad idea for cases like “ATAATA”</w:t>
      </w:r>
      <w:r w:rsidR="00D12387">
        <w:rPr>
          <w:rFonts w:ascii="Helvetica" w:hAnsi="Helvetica" w:cs="Helvetica"/>
          <w:kern w:val="0"/>
        </w:rPr>
        <w:t>?</w:t>
      </w:r>
    </w:p>
    <w:p w14:paraId="21156A70" w14:textId="2BCBC345" w:rsidR="000D0E24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A809858" w14:textId="77777777" w:rsidR="000D0E24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47D5E07" w14:textId="414F1708" w:rsidR="000D0E24" w:rsidRDefault="000D0E24" w:rsidP="000D0E2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Fix </w:t>
      </w:r>
      <w:proofErr w:type="spellStart"/>
      <w:r>
        <w:rPr>
          <w:rFonts w:ascii="Helvetica" w:hAnsi="Helvetica" w:cs="Helvetica"/>
          <w:kern w:val="0"/>
        </w:rPr>
        <w:t>MapBack</w:t>
      </w:r>
      <w:proofErr w:type="spellEnd"/>
      <w:r>
        <w:rPr>
          <w:rFonts w:ascii="Helvetica" w:hAnsi="Helvetica" w:cs="Helvetica"/>
          <w:kern w:val="0"/>
        </w:rPr>
        <w:t xml:space="preserve"> for IR patterns</w:t>
      </w:r>
    </w:p>
    <w:p w14:paraId="7B6A9943" w14:textId="77777777" w:rsid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744EDA60" w14:textId="77777777" w:rsidR="00973D74" w:rsidRPr="00973D74" w:rsidRDefault="00973D74" w:rsidP="00973D74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02493514" w14:textId="3AAFC60A" w:rsidR="001776EF" w:rsidRPr="00EB78E9" w:rsidRDefault="001776EF" w:rsidP="00935A66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 w:rsidRPr="00EB78E9">
        <w:rPr>
          <w:rFonts w:ascii="Helvetica" w:hAnsi="Helvetica" w:cs="Helvetica"/>
          <w:kern w:val="0"/>
        </w:rPr>
        <w:t>Your cutoff is skewed down right now:</w:t>
      </w:r>
    </w:p>
    <w:p w14:paraId="4D85E56E" w14:textId="77777777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Take out the 2.00 diagonal from the distribution</w:t>
      </w:r>
    </w:p>
    <w:p w14:paraId="24BF8A67" w14:textId="2F3B4E36" w:rsidR="001776EF" w:rsidRPr="00935A66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Just the lower </w:t>
      </w:r>
      <w:r w:rsidR="005C4BA9">
        <w:rPr>
          <w:rFonts w:ascii="Helvetica" w:hAnsi="Helvetica" w:cs="Helvetica"/>
          <w:b/>
          <w:bCs/>
          <w:color w:val="196B24" w:themeColor="accent3"/>
          <w:kern w:val="0"/>
        </w:rPr>
        <w:t>triangle</w:t>
      </w:r>
    </w:p>
    <w:p w14:paraId="632D48F0" w14:textId="77777777" w:rsidR="001776EF" w:rsidRDefault="001776EF" w:rsidP="001776EF">
      <w:pPr>
        <w:numPr>
          <w:ilvl w:val="0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 xml:space="preserve">zero p-values = + 1 </w:t>
      </w:r>
      <w:proofErr w:type="gramStart"/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>/(</w:t>
      </w:r>
      <w:proofErr w:type="gramEnd"/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 xml:space="preserve">n </w:t>
      </w:r>
      <w:proofErr w:type="gramStart"/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>+  2</w:t>
      </w:r>
      <w:proofErr w:type="gramEnd"/>
      <w:r w:rsidRPr="00101828">
        <w:rPr>
          <w:rFonts w:ascii="Helvetica" w:hAnsi="Helvetica" w:cs="Helvetica"/>
          <w:b/>
          <w:bCs/>
          <w:color w:val="196B24" w:themeColor="accent3"/>
          <w:kern w:val="0"/>
        </w:rPr>
        <w:t xml:space="preserve">) in the denominator </w:t>
      </w:r>
    </w:p>
    <w:p w14:paraId="7751897A" w14:textId="7BC4A0EE" w:rsidR="00874C45" w:rsidRPr="00101828" w:rsidRDefault="00874C45" w:rsidP="00874C45">
      <w:pPr>
        <w:numPr>
          <w:ilvl w:val="1"/>
          <w:numId w:val="1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 xml:space="preserve">These are answering different questions. The n+1 correction (Davison &amp; Hinkley / </w:t>
      </w:r>
      <w:proofErr w:type="spellStart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Phipson</w:t>
      </w:r>
      <w:proofErr w:type="spellEnd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 xml:space="preserve">) gives a valid frequentist p-value — it's the probability that a random permutation beats your score, with the observed statistic counted as part of its own reference set. The n+2 correction gives the best point estimate of what the true p-value </w:t>
      </w:r>
      <w:proofErr w:type="gramStart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actually is</w:t>
      </w:r>
      <w:proofErr w:type="gramEnd"/>
      <w:r w:rsidRPr="00874C45">
        <w:rPr>
          <w:rFonts w:ascii="Helvetica" w:hAnsi="Helvetica" w:cs="Helvetica"/>
          <w:b/>
          <w:bCs/>
          <w:color w:val="196B24" w:themeColor="accent3"/>
          <w:kern w:val="0"/>
        </w:rPr>
        <w:t>, given what you observed and a flat prior.</w:t>
      </w:r>
    </w:p>
    <w:p w14:paraId="5B540FE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2F20BC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ABA6705" w14:textId="77777777" w:rsidR="001776EF" w:rsidRPr="00DC71A3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b/>
          <w:bCs/>
          <w:kern w:val="0"/>
        </w:rPr>
      </w:pPr>
      <w:r w:rsidRPr="00DC71A3">
        <w:rPr>
          <w:rFonts w:ascii="Helvetica" w:hAnsi="Helvetica" w:cs="Helvetica"/>
          <w:b/>
          <w:bCs/>
          <w:kern w:val="0"/>
        </w:rPr>
        <w:t>Evaluate MEME OUT examples:</w:t>
      </w:r>
    </w:p>
    <w:p w14:paraId="3C0F1E9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 </w:t>
      </w:r>
    </w:p>
    <w:p w14:paraId="2B1505F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0925AF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B7F90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Data Integrity</w:t>
      </w:r>
    </w:p>
    <w:p w14:paraId="51D9C987" w14:textId="77777777" w:rsidR="001776EF" w:rsidRPr="00935A66" w:rsidRDefault="001776EF" w:rsidP="001776EF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b/>
          <w:bCs/>
          <w:color w:val="196B24" w:themeColor="accent3"/>
          <w:kern w:val="0"/>
        </w:rPr>
      </w:pPr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 xml:space="preserve">Fix the inconsistent lengths — grab aligned from </w:t>
      </w:r>
      <w:proofErr w:type="spellStart"/>
      <w:r w:rsidRPr="00935A66">
        <w:rPr>
          <w:rFonts w:ascii="Helvetica" w:hAnsi="Helvetica" w:cs="Helvetica"/>
          <w:b/>
          <w:bCs/>
          <w:color w:val="196B24" w:themeColor="accent3"/>
          <w:kern w:val="0"/>
        </w:rPr>
        <w:t>CollecTF</w:t>
      </w:r>
      <w:proofErr w:type="spellEnd"/>
    </w:p>
    <w:p w14:paraId="052FBB1A" w14:textId="5BBA5810" w:rsidR="005C4BA9" w:rsidRPr="00706EE2" w:rsidRDefault="001776EF" w:rsidP="005C4BA9">
      <w:pPr>
        <w:numPr>
          <w:ilvl w:val="0"/>
          <w:numId w:val="2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color w:val="196B24" w:themeColor="accent3"/>
          <w:kern w:val="0"/>
        </w:rPr>
      </w:pPr>
      <w:r w:rsidRPr="00706EE2">
        <w:rPr>
          <w:rFonts w:ascii="Helvetica" w:hAnsi="Helvetica" w:cs="Helvetica"/>
          <w:color w:val="196B24" w:themeColor="accent3"/>
          <w:kern w:val="0"/>
        </w:rPr>
        <w:t xml:space="preserve">Decrementing the percentile </w:t>
      </w:r>
      <w:proofErr w:type="gramStart"/>
      <w:r w:rsidRPr="00706EE2">
        <w:rPr>
          <w:rFonts w:ascii="Helvetica" w:hAnsi="Helvetica" w:cs="Helvetica"/>
          <w:color w:val="196B24" w:themeColor="accent3"/>
          <w:kern w:val="0"/>
        </w:rPr>
        <w:t>threshold  —</w:t>
      </w:r>
      <w:proofErr w:type="gramEnd"/>
      <w:r w:rsidRPr="00706EE2">
        <w:rPr>
          <w:rFonts w:ascii="Helvetica" w:hAnsi="Helvetica" w:cs="Helvetica"/>
          <w:color w:val="196B24" w:themeColor="accent3"/>
          <w:kern w:val="0"/>
        </w:rPr>
        <w:t xml:space="preserve"> the user should do that, leave it alone and let it output just none.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</w:t>
      </w:r>
      <w:r w:rsidR="005C4BA9" w:rsidRPr="00706EE2">
        <w:rPr>
          <w:rFonts w:ascii="Helvetica" w:hAnsi="Helvetica" w:cs="Helvetica"/>
          <w:color w:val="196B24" w:themeColor="accent3"/>
          <w:kern w:val="0"/>
        </w:rPr>
        <w:sym w:font="Wingdings" w:char="F0E0"/>
      </w:r>
      <w:r w:rsidR="005C4BA9" w:rsidRPr="00706EE2">
        <w:rPr>
          <w:rFonts w:ascii="Helvetica" w:hAnsi="Helvetica" w:cs="Helvetica"/>
          <w:color w:val="196B24" w:themeColor="accent3"/>
          <w:kern w:val="0"/>
        </w:rPr>
        <w:t xml:space="preserve"> added togglable automatic override, default is set to True.</w:t>
      </w:r>
    </w:p>
    <w:p w14:paraId="6266B21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8CB1E9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36108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C81B7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75DF7D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User Output</w:t>
      </w:r>
    </w:p>
    <w:p w14:paraId="0AFADF7C" w14:textId="20FFE99B" w:rsidR="001776EF" w:rsidRDefault="00A73C89" w:rsidP="001776EF">
      <w:pPr>
        <w:numPr>
          <w:ilvl w:val="0"/>
          <w:numId w:val="3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report</w:t>
      </w:r>
      <w:r w:rsidR="001776EF">
        <w:rPr>
          <w:rFonts w:ascii="Helvetica" w:hAnsi="Helvetica" w:cs="Helvetica"/>
          <w:kern w:val="0"/>
        </w:rPr>
        <w:t xml:space="preserve"> the interstitial space between the two candidates and length </w:t>
      </w:r>
    </w:p>
    <w:p w14:paraId="555C57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529EB04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CDD334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Summarizing results </w:t>
      </w:r>
    </w:p>
    <w:p w14:paraId="3D047645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Show the distribution of the -log(</w:t>
      </w:r>
      <w:proofErr w:type="spellStart"/>
      <w:r>
        <w:rPr>
          <w:rFonts w:ascii="Helvetica" w:hAnsi="Helvetica" w:cs="Helvetica"/>
          <w:kern w:val="0"/>
        </w:rPr>
        <w:t>pval</w:t>
      </w:r>
      <w:proofErr w:type="spellEnd"/>
      <w:r>
        <w:rPr>
          <w:rFonts w:ascii="Helvetica" w:hAnsi="Helvetica" w:cs="Helvetica"/>
          <w:kern w:val="0"/>
        </w:rPr>
        <w:t xml:space="preserve">)  </w:t>
      </w:r>
    </w:p>
    <w:p w14:paraId="6F3A023D" w14:textId="77777777" w:rsidR="001776EF" w:rsidRDefault="001776EF" w:rsidP="001776EF">
      <w:pPr>
        <w:numPr>
          <w:ilvl w:val="0"/>
          <w:numId w:val="4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Frequency distribution showing that we have many observations with high p-values for the direct repeat patterns, and then many for the low- p-values for the invert repeat patterns</w:t>
      </w:r>
    </w:p>
    <w:p w14:paraId="6207A195" w14:textId="77777777" w:rsidR="001776EF" w:rsidRPr="007312B1" w:rsidRDefault="001776EF" w:rsidP="007312B1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/>
        <w:rPr>
          <w:rFonts w:ascii="Helvetica" w:hAnsi="Helvetica" w:cs="Helvetica"/>
          <w:kern w:val="0"/>
        </w:rPr>
      </w:pPr>
    </w:p>
    <w:p w14:paraId="59CEB3B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9D20E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A8846CD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Evaluation</w:t>
      </w:r>
    </w:p>
    <w:p w14:paraId="1910FA2C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ROC of either the DR or the IR </w:t>
      </w:r>
    </w:p>
    <w:p w14:paraId="3B5A1957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or </w:t>
      </w:r>
      <w:proofErr w:type="gramStart"/>
      <w:r>
        <w:rPr>
          <w:rFonts w:ascii="Helvetica" w:hAnsi="Helvetica" w:cs="Helvetica"/>
          <w:kern w:val="0"/>
        </w:rPr>
        <w:t>min(</w:t>
      </w:r>
      <w:proofErr w:type="spellStart"/>
      <w:proofErr w:type="gramEnd"/>
      <w:r>
        <w:rPr>
          <w:rFonts w:ascii="Helvetica" w:hAnsi="Helvetica" w:cs="Helvetica"/>
          <w:kern w:val="0"/>
        </w:rPr>
        <w:t>DRpval</w:t>
      </w:r>
      <w:proofErr w:type="spellEnd"/>
      <w:r>
        <w:rPr>
          <w:rFonts w:ascii="Helvetica" w:hAnsi="Helvetica" w:cs="Helvetica"/>
          <w:kern w:val="0"/>
        </w:rPr>
        <w:t xml:space="preserve">, </w:t>
      </w:r>
      <w:proofErr w:type="spellStart"/>
      <w:r>
        <w:rPr>
          <w:rFonts w:ascii="Helvetica" w:hAnsi="Helvetica" w:cs="Helvetica"/>
          <w:kern w:val="0"/>
        </w:rPr>
        <w:t>IRpval</w:t>
      </w:r>
      <w:proofErr w:type="spellEnd"/>
      <w:r>
        <w:rPr>
          <w:rFonts w:ascii="Helvetica" w:hAnsi="Helvetica" w:cs="Helvetica"/>
          <w:kern w:val="0"/>
        </w:rPr>
        <w:t>)</w:t>
      </w:r>
    </w:p>
    <w:p w14:paraId="0A8AF0A8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PR curve</w:t>
      </w:r>
    </w:p>
    <w:p w14:paraId="0F3F0C8A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AUC </w:t>
      </w:r>
    </w:p>
    <w:p w14:paraId="00D0C3C2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Classification problem — output DR, IR </w:t>
      </w:r>
    </w:p>
    <w:p w14:paraId="63F290BD" w14:textId="77777777" w:rsidR="001776EF" w:rsidRDefault="001776EF" w:rsidP="001776EF">
      <w:pPr>
        <w:numPr>
          <w:ilvl w:val="0"/>
          <w:numId w:val="5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  <w:sz w:val="22"/>
          <w:szCs w:val="22"/>
        </w:rPr>
      </w:pPr>
      <w:r>
        <w:rPr>
          <w:rFonts w:ascii="Helvetica" w:hAnsi="Helvetica" w:cs="Helvetica"/>
          <w:kern w:val="0"/>
          <w:sz w:val="22"/>
          <w:szCs w:val="22"/>
        </w:rPr>
        <w:t xml:space="preserve">Q8YMM5 — both a DR/IR — multi classification </w:t>
      </w:r>
    </w:p>
    <w:p w14:paraId="6BA7836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4688BB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09C5A79B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>Lit Review</w:t>
      </w:r>
    </w:p>
    <w:p w14:paraId="7EBBA5E5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D8320E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5" w:history="1">
        <w:r>
          <w:rPr>
            <w:rFonts w:ascii="Helvetica" w:hAnsi="Helvetica" w:cs="Helvetica"/>
            <w:kern w:val="0"/>
          </w:rPr>
          <w:t>https://link.springer.com/article/10.1186/gb-2007-8-2-r24</w:t>
        </w:r>
      </w:hyperlink>
      <w:r>
        <w:rPr>
          <w:rFonts w:ascii="Helvetica" w:hAnsi="Helvetica" w:cs="Helvetica"/>
          <w:kern w:val="0"/>
        </w:rPr>
        <w:t xml:space="preserve"> —</w:t>
      </w:r>
    </w:p>
    <w:p w14:paraId="24054AA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A0CF2F4" w14:textId="77777777" w:rsidR="001776EF" w:rsidRPr="005C4BA9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  <w:lang w:val="es-ES_tradnl"/>
        </w:rPr>
      </w:pPr>
      <w:r>
        <w:rPr>
          <w:rFonts w:ascii="Helvetica" w:hAnsi="Helvetica" w:cs="Helvetica"/>
          <w:kern w:val="0"/>
        </w:rPr>
        <w:t xml:space="preserve">* MEME </w:t>
      </w:r>
    </w:p>
    <w:p w14:paraId="5DD16D21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proofErr w:type="spellStart"/>
      <w:r>
        <w:rPr>
          <w:rFonts w:ascii="Helvetica" w:hAnsi="Helvetica" w:cs="Helvetica"/>
          <w:kern w:val="0"/>
        </w:rPr>
        <w:t>RNASeq</w:t>
      </w:r>
      <w:proofErr w:type="spellEnd"/>
      <w:r>
        <w:rPr>
          <w:rFonts w:ascii="Helvetica" w:hAnsi="Helvetica" w:cs="Helvetica"/>
          <w:kern w:val="0"/>
        </w:rPr>
        <w:t xml:space="preserve"> - </w:t>
      </w:r>
      <w:proofErr w:type="spellStart"/>
      <w:r>
        <w:rPr>
          <w:rFonts w:ascii="Helvetica" w:hAnsi="Helvetica" w:cs="Helvetica"/>
          <w:kern w:val="0"/>
        </w:rPr>
        <w:t>ChIPSeq</w:t>
      </w:r>
      <w:proofErr w:type="spellEnd"/>
    </w:p>
    <w:p w14:paraId="465479CF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31D1C67A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hyperlink r:id="rId6" w:history="1">
        <w:r>
          <w:rPr>
            <w:rFonts w:ascii="Helvetica" w:hAnsi="Helvetica" w:cs="Helvetica"/>
            <w:kern w:val="0"/>
          </w:rPr>
          <w:t>https://microbenotes.com/chip-sequencing/</w:t>
        </w:r>
      </w:hyperlink>
    </w:p>
    <w:p w14:paraId="57B80CB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4ACC8C84" w14:textId="77777777" w:rsidR="001776EF" w:rsidRDefault="001776EF" w:rsidP="001776EF">
      <w:pPr>
        <w:numPr>
          <w:ilvl w:val="0"/>
          <w:numId w:val="6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MEME </w:t>
      </w:r>
    </w:p>
    <w:p w14:paraId="24377B19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7F7A2B1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our</w:t>
      </w:r>
      <w:proofErr w:type="gramEnd"/>
      <w:r>
        <w:rPr>
          <w:rFonts w:ascii="Helvetica" w:hAnsi="Helvetica" w:cs="Helvetica"/>
          <w:kern w:val="0"/>
        </w:rPr>
        <w:t xml:space="preserve"> base assumption of a dimeric (or tetrameric) binding conformation and use that to evaluate the candidate patterns </w:t>
      </w:r>
    </w:p>
    <w:p w14:paraId="0CD34C33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11F0158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we</w:t>
      </w:r>
      <w:proofErr w:type="gramEnd"/>
      <w:r>
        <w:rPr>
          <w:rFonts w:ascii="Helvetica" w:hAnsi="Helvetica" w:cs="Helvetica"/>
          <w:kern w:val="0"/>
        </w:rPr>
        <w:t xml:space="preserve"> have some downstream outputs from motif discovery, how can we automate the evaluation of whether the motif is an actual binding site or </w:t>
      </w:r>
      <w:proofErr w:type="gramStart"/>
      <w:r>
        <w:rPr>
          <w:rFonts w:ascii="Helvetica" w:hAnsi="Helvetica" w:cs="Helvetica"/>
          <w:kern w:val="0"/>
        </w:rPr>
        <w:t>not ?</w:t>
      </w:r>
      <w:proofErr w:type="gramEnd"/>
      <w:r>
        <w:rPr>
          <w:rFonts w:ascii="Helvetica" w:hAnsi="Helvetica" w:cs="Helvetica"/>
          <w:kern w:val="0"/>
        </w:rPr>
        <w:t xml:space="preserve"> </w:t>
      </w:r>
    </w:p>
    <w:p w14:paraId="3D834504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FB7F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1E4B8BB7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other</w:t>
      </w:r>
      <w:proofErr w:type="gramEnd"/>
      <w:r>
        <w:rPr>
          <w:rFonts w:ascii="Helvetica" w:hAnsi="Helvetica" w:cs="Helvetica"/>
          <w:kern w:val="0"/>
        </w:rPr>
        <w:t xml:space="preserve"> ways to evaluate a motif candidate — coverage in the genome </w:t>
      </w:r>
    </w:p>
    <w:p w14:paraId="533BAA32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</w:t>
      </w:r>
      <w:proofErr w:type="gramStart"/>
      <w:r>
        <w:rPr>
          <w:rFonts w:ascii="Helvetica" w:hAnsi="Helvetica" w:cs="Helvetica"/>
          <w:kern w:val="0"/>
        </w:rPr>
        <w:t>the</w:t>
      </w:r>
      <w:proofErr w:type="gramEnd"/>
      <w:r>
        <w:rPr>
          <w:rFonts w:ascii="Helvetica" w:hAnsi="Helvetica" w:cs="Helvetica"/>
          <w:kern w:val="0"/>
        </w:rPr>
        <w:t xml:space="preserve"> problem is that many things are conserved and statistically significant, but the conservation does not necessarily denote an actual binding site </w:t>
      </w:r>
    </w:p>
    <w:p w14:paraId="32FD1B47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</w:p>
    <w:p w14:paraId="330C47D6" w14:textId="77777777" w:rsidR="001776EF" w:rsidRDefault="001776EF" w:rsidP="001776EF">
      <w:pPr>
        <w:numPr>
          <w:ilvl w:val="0"/>
          <w:numId w:val="7"/>
        </w:num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for our case of the bacterial transcription </w:t>
      </w:r>
      <w:proofErr w:type="gramStart"/>
      <w:r>
        <w:rPr>
          <w:rFonts w:ascii="Helvetica" w:hAnsi="Helvetica" w:cs="Helvetica"/>
          <w:kern w:val="0"/>
        </w:rPr>
        <w:t>factors</w:t>
      </w:r>
      <w:proofErr w:type="gramEnd"/>
      <w:r>
        <w:rPr>
          <w:rFonts w:ascii="Helvetica" w:hAnsi="Helvetica" w:cs="Helvetica"/>
          <w:kern w:val="0"/>
        </w:rPr>
        <w:t xml:space="preserve"> we use the base heuristic that the IR/DR  </w:t>
      </w:r>
    </w:p>
    <w:p w14:paraId="792CBCCC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</w:p>
    <w:p w14:paraId="4453D911" w14:textId="77777777" w:rsidR="001776EF" w:rsidRDefault="001776EF" w:rsidP="001776EF">
      <w:pPr>
        <w:tabs>
          <w:tab w:val="left" w:pos="22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ind w:left="720" w:hanging="720"/>
        <w:rPr>
          <w:rFonts w:ascii="Helvetica" w:hAnsi="Helvetica" w:cs="Helvetica"/>
          <w:kern w:val="0"/>
        </w:rPr>
      </w:pPr>
      <w:r>
        <w:rPr>
          <w:rFonts w:ascii="Helvetica" w:hAnsi="Helvetica" w:cs="Helvetica"/>
          <w:kern w:val="0"/>
        </w:rPr>
        <w:t xml:space="preserve">* include the </w:t>
      </w:r>
      <w:proofErr w:type="spellStart"/>
      <w:r>
        <w:rPr>
          <w:rFonts w:ascii="Helvetica" w:hAnsi="Helvetica" w:cs="Helvetica"/>
          <w:kern w:val="0"/>
        </w:rPr>
        <w:t>CollecTF</w:t>
      </w:r>
      <w:proofErr w:type="spellEnd"/>
      <w:r>
        <w:rPr>
          <w:rFonts w:ascii="Helvetica" w:hAnsi="Helvetica" w:cs="Helvetica"/>
          <w:kern w:val="0"/>
        </w:rPr>
        <w:t xml:space="preserve"> — </w:t>
      </w:r>
      <w:hyperlink r:id="rId7" w:history="1">
        <w:r>
          <w:rPr>
            <w:rFonts w:ascii="Helvetica" w:hAnsi="Helvetica" w:cs="Helvetica"/>
            <w:kern w:val="0"/>
          </w:rPr>
          <w:t>https://github.com/ErillLab/collectf/blob/45f7621f408acabc739c21617294e2fc207875b2/src/core/motif_structure.py#L26</w:t>
        </w:r>
      </w:hyperlink>
    </w:p>
    <w:p w14:paraId="5FBB3DDC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2D411536" w14:textId="77777777" w:rsidR="001776EF" w:rsidRDefault="001776EF" w:rsidP="001776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spacing w:after="0" w:line="240" w:lineRule="auto"/>
        <w:rPr>
          <w:rFonts w:ascii="Helvetica" w:hAnsi="Helvetica" w:cs="Helvetica"/>
          <w:kern w:val="0"/>
        </w:rPr>
      </w:pPr>
    </w:p>
    <w:p w14:paraId="6F8C8C7D" w14:textId="6CDC7064" w:rsidR="005601A0" w:rsidRDefault="005D1ED1">
      <w:hyperlink r:id="rId8" w:history="1">
        <w:r w:rsidRPr="0088728F">
          <w:rPr>
            <w:rStyle w:val="Hyperlink"/>
          </w:rPr>
          <w:t>https://link.springer.com/article/10.1186/gb-2007-8-2-r24</w:t>
        </w:r>
      </w:hyperlink>
    </w:p>
    <w:p w14:paraId="36681701" w14:textId="7CBC863D" w:rsidR="005D1ED1" w:rsidRDefault="000D0E24">
      <w:hyperlink r:id="rId9" w:history="1">
        <w:r w:rsidRPr="0088728F">
          <w:rPr>
            <w:rStyle w:val="Hyperlink"/>
          </w:rPr>
          <w:t>https://journals.plos.org/ploscompbiol/article?id=10.1371/journal.pcbi.1000010</w:t>
        </w:r>
      </w:hyperlink>
    </w:p>
    <w:p w14:paraId="63EF972F" w14:textId="7F903AFC" w:rsidR="000D0E24" w:rsidRDefault="000D0E24">
      <w:hyperlink r:id="rId10" w:history="1">
        <w:r w:rsidRPr="0088728F">
          <w:rPr>
            <w:rStyle w:val="Hyperlink"/>
          </w:rPr>
          <w:t>https://academic.oup.com/database/article/doi/10.1093/database/baw055/2630369?login=false#47326445</w:t>
        </w:r>
      </w:hyperlink>
    </w:p>
    <w:p w14:paraId="40BA1686" w14:textId="77777777" w:rsidR="000D0E24" w:rsidRDefault="000D0E24"/>
    <w:sectPr w:rsidR="000D0E24" w:rsidSect="001776EF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4E7EB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2DF81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D4347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▪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78579578">
    <w:abstractNumId w:val="0"/>
  </w:num>
  <w:num w:numId="2" w16cid:durableId="1965114007">
    <w:abstractNumId w:val="1"/>
  </w:num>
  <w:num w:numId="3" w16cid:durableId="1879463176">
    <w:abstractNumId w:val="2"/>
  </w:num>
  <w:num w:numId="4" w16cid:durableId="1362975277">
    <w:abstractNumId w:val="3"/>
  </w:num>
  <w:num w:numId="5" w16cid:durableId="969827115">
    <w:abstractNumId w:val="4"/>
  </w:num>
  <w:num w:numId="6" w16cid:durableId="824979151">
    <w:abstractNumId w:val="5"/>
  </w:num>
  <w:num w:numId="7" w16cid:durableId="18427421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6EF"/>
    <w:rsid w:val="000D0E24"/>
    <w:rsid w:val="000E7E23"/>
    <w:rsid w:val="00101828"/>
    <w:rsid w:val="001776EF"/>
    <w:rsid w:val="0047286E"/>
    <w:rsid w:val="005601A0"/>
    <w:rsid w:val="005C4BA9"/>
    <w:rsid w:val="005D1ED1"/>
    <w:rsid w:val="00706EE2"/>
    <w:rsid w:val="0071128C"/>
    <w:rsid w:val="007312B1"/>
    <w:rsid w:val="00874C45"/>
    <w:rsid w:val="00935A66"/>
    <w:rsid w:val="00973D74"/>
    <w:rsid w:val="009A759C"/>
    <w:rsid w:val="00A73C89"/>
    <w:rsid w:val="00D12387"/>
    <w:rsid w:val="00DC71A3"/>
    <w:rsid w:val="00EB7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A9DDFA"/>
  <w15:chartTrackingRefBased/>
  <w15:docId w15:val="{E18D29A5-4CB1-8C4E-B19D-46AE1A399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6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6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6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6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6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6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6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6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6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6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6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6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6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6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6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6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6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6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6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6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6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6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6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6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6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6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6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6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6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D1E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1E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186/gb-2007-8-2-r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rillLab/collectf/blob/45f7621f408acabc739c21617294e2fc207875b2/src/core/motif_structure.py#L26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crobenotes.com/chip-sequencing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ink.springer.com/article/10.1186/gb-2007-8-2-r24" TargetMode="External"/><Relationship Id="rId10" Type="http://schemas.openxmlformats.org/officeDocument/2006/relationships/hyperlink" Target="https://academic.oup.com/database/article/doi/10.1093/database/baw055/2630369?login=false#4732644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urnals.plos.org/ploscompbiol/article?id=10.1371/journal.pcbi.10000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Shin</dc:creator>
  <cp:keywords/>
  <dc:description/>
  <cp:lastModifiedBy>Enoch Shin</cp:lastModifiedBy>
  <cp:revision>10</cp:revision>
  <dcterms:created xsi:type="dcterms:W3CDTF">2026-05-22T15:22:00Z</dcterms:created>
  <dcterms:modified xsi:type="dcterms:W3CDTF">2026-05-24T21:03:00Z</dcterms:modified>
</cp:coreProperties>
</file>